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color w:val="333333"/>
          <w:sz w:val="44"/>
          <w:szCs w:val="44"/>
          <w:lang w:val="en-US" w:eastAsia="zh-CN"/>
        </w:rPr>
      </w:pPr>
      <w:r>
        <w:rPr>
          <w:rFonts w:hint="eastAsia" w:ascii="Times New Roman" w:hAnsi="Times New Roman" w:eastAsia="方正小标宋简体" w:cs="Times New Roman"/>
          <w:color w:val="333333"/>
          <w:sz w:val="44"/>
          <w:szCs w:val="44"/>
          <w:lang w:val="en-US" w:eastAsia="zh-CN"/>
        </w:rPr>
        <w:t>平顶山市人社局政务公开工作任务责任分解表</w:t>
      </w:r>
    </w:p>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jc w:val="center"/>
        <w:textAlignment w:val="auto"/>
        <w:rPr>
          <w:rFonts w:hint="eastAsia" w:ascii="楷体" w:hAnsi="楷体" w:eastAsia="楷体" w:cs="楷体"/>
          <w:b/>
          <w:bCs/>
          <w:color w:val="333333"/>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320" w:lineRule="exact"/>
        <w:ind w:left="0" w:leftChars="0" w:firstLine="0" w:firstLineChars="0"/>
        <w:textAlignment w:val="auto"/>
        <w:rPr>
          <w:rFonts w:hint="default" w:ascii="楷体" w:hAnsi="楷体" w:eastAsia="楷体" w:cs="楷体"/>
          <w:color w:val="333333"/>
          <w:sz w:val="24"/>
          <w:szCs w:val="24"/>
          <w:lang w:val="en-US" w:eastAsia="zh-CN"/>
        </w:rPr>
      </w:pPr>
      <w:r>
        <w:rPr>
          <w:rFonts w:hint="eastAsia" w:ascii="楷体" w:hAnsi="楷体" w:eastAsia="楷体" w:cs="楷体"/>
          <w:color w:val="333333"/>
          <w:sz w:val="24"/>
          <w:szCs w:val="24"/>
          <w:lang w:val="en-US" w:eastAsia="zh-CN"/>
        </w:rPr>
        <w:t>制表：办公室                                                                                 时间：2021年8月6日</w:t>
      </w:r>
    </w:p>
    <w:tbl>
      <w:tblPr>
        <w:tblStyle w:val="8"/>
        <w:tblW w:w="493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567"/>
        <w:gridCol w:w="7624"/>
        <w:gridCol w:w="1921"/>
        <w:gridCol w:w="1544"/>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1"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序号</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重点任务</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任务分解</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牵头</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科室</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发布时限</w:t>
            </w:r>
          </w:p>
        </w:tc>
        <w:tc>
          <w:tcPr>
            <w:tcW w:w="46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auto"/>
                <w:spacing w:val="0"/>
                <w:sz w:val="24"/>
                <w:szCs w:val="24"/>
                <w:highlight w:val="none"/>
                <w:vertAlign w:val="baseline"/>
                <w:lang w:val="en-US" w:eastAsia="zh-CN"/>
              </w:rPr>
            </w:pPr>
            <w:r>
              <w:rPr>
                <w:rFonts w:hint="eastAsia" w:ascii="黑体" w:hAnsi="黑体" w:eastAsia="黑体" w:cs="黑体"/>
                <w:b w:val="0"/>
                <w:bCs w:val="0"/>
                <w:color w:val="auto"/>
                <w:spacing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eastAsia="仿宋_GB2312" w:cs="仿宋_GB2312"/>
                <w:b w:val="0"/>
                <w:bCs w:val="0"/>
                <w:color w:val="auto"/>
                <w:spacing w:val="0"/>
                <w:sz w:val="24"/>
                <w:szCs w:val="24"/>
                <w:highlight w:val="none"/>
                <w:vertAlign w:val="baseline"/>
                <w:lang w:val="en-US" w:eastAsia="zh-CN"/>
              </w:rPr>
              <w:t>1</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重大决策</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预公开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决策承办单位拟定并向本级办公室报送年度重大决策事项以及重大决策草案、解读材料、意见征集及反馈情况、合法性审查意见等材料。</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办公室</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法规科</w:t>
            </w:r>
          </w:p>
        </w:tc>
        <w:tc>
          <w:tcPr>
            <w:tcW w:w="529"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eastAsia="仿宋_GB2312" w:cs="仿宋_GB2312"/>
                <w:b w:val="0"/>
                <w:bCs w:val="0"/>
                <w:color w:val="auto"/>
                <w:spacing w:val="0"/>
                <w:sz w:val="24"/>
                <w:szCs w:val="24"/>
                <w:highlight w:val="none"/>
                <w:vertAlign w:val="baseline"/>
                <w:lang w:val="en-US" w:eastAsia="zh-CN"/>
              </w:rPr>
              <w:t>2</w:t>
            </w:r>
          </w:p>
        </w:tc>
        <w:tc>
          <w:tcPr>
            <w:tcW w:w="537" w:type="pct"/>
            <w:vAlign w:val="center"/>
          </w:tcPr>
          <w:p>
            <w:pPr>
              <w:keepNext w:val="0"/>
              <w:keepLines w:val="0"/>
              <w:pageBreakBefore w:val="0"/>
              <w:widowControl w:val="0"/>
              <w:tabs>
                <w:tab w:val="left" w:pos="284"/>
              </w:tabs>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i w:val="0"/>
                <w:color w:val="auto"/>
                <w:spacing w:val="0"/>
                <w:kern w:val="2"/>
                <w:sz w:val="24"/>
                <w:szCs w:val="24"/>
                <w:highlight w:val="none"/>
                <w:u w:val="none"/>
                <w:lang w:val="en-US" w:eastAsia="zh-CN" w:bidi="ar-SA"/>
              </w:rPr>
            </w:pPr>
            <w:r>
              <w:rPr>
                <w:rFonts w:hint="eastAsia" w:ascii="楷体" w:hAnsi="楷体" w:eastAsia="楷体" w:cs="楷体"/>
                <w:b/>
                <w:bCs/>
                <w:i w:val="0"/>
                <w:color w:val="auto"/>
                <w:spacing w:val="0"/>
                <w:kern w:val="2"/>
                <w:sz w:val="24"/>
                <w:szCs w:val="24"/>
                <w:highlight w:val="none"/>
                <w:u w:val="none"/>
                <w:lang w:val="en-US" w:eastAsia="zh-CN" w:bidi="ar-SA"/>
              </w:rPr>
              <w:t>建议提案办理结果公开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在政府网站公开本年度人大代表建议和政协委员提案办理复文全文。</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办公室</w:t>
            </w:r>
          </w:p>
        </w:tc>
        <w:tc>
          <w:tcPr>
            <w:tcW w:w="529"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eastAsia="仿宋_GB2312" w:cs="仿宋_GB2312"/>
                <w:b w:val="0"/>
                <w:bCs w:val="0"/>
                <w:color w:val="auto"/>
                <w:spacing w:val="0"/>
                <w:sz w:val="24"/>
                <w:szCs w:val="24"/>
                <w:highlight w:val="none"/>
                <w:vertAlign w:val="baseline"/>
                <w:lang w:val="en-US" w:eastAsia="zh-CN"/>
              </w:rPr>
              <w:t>3</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权责清单</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加强权责清单动态梳理，及时报送动态调整结果，确保政府门户网站于政务服务网发布的权责清单保持一致。</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法规科</w:t>
            </w:r>
          </w:p>
        </w:tc>
        <w:tc>
          <w:tcPr>
            <w:tcW w:w="529"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eastAsia="仿宋_GB2312" w:cs="仿宋_GB2312"/>
                <w:b w:val="0"/>
                <w:bCs w:val="0"/>
                <w:color w:val="auto"/>
                <w:spacing w:val="0"/>
                <w:sz w:val="24"/>
                <w:szCs w:val="24"/>
                <w:highlight w:val="none"/>
                <w:vertAlign w:val="baseline"/>
                <w:lang w:val="en-US" w:eastAsia="zh-CN"/>
              </w:rPr>
              <w:t>4</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“双随机”监管信息公开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依据权责清单，在“双随机协同监管平台”或者本系统“双随机”监管平台和外网公布随机抽查事项清单（清单内容），抽查结果记录市场主体名下并公示。</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劳动保障监察局</w:t>
            </w:r>
          </w:p>
        </w:tc>
        <w:tc>
          <w:tcPr>
            <w:tcW w:w="529"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5</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行政处罚</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信息公开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在本部门网站或信用平顶山网发布行政处罚信息。要求要素完整，涵盖被处罚机构代码、主要违法事实、处罚依据、处罚结果等要素；对个人隐私信息做“去标识化”处理，不过度披露当事人个人身份证号、联系方式、家庭详细信息等信息。</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劳动监察支队</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年度行政处罚结果自作出行政决定之日起7个工作日内在网上公开</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6</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法治政府建设年度报告公开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在本部门网站公开本部门法治政府建设年度报告。报告名称规范、内容翔实，包括上年度法治政府建设工作成效、存在问题及本年度推进法治政府建设的重点与方向。</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法规科</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每年4月1日前</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7</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行政规范性文件公开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（1）每两年适时对我局行政规范性文件进行一次清理。（2）定期公开行政规范性文件备案信息，目录要素包括文件名称、序号、发文字号、发文依据、发文日期、生效时间、备案结果等。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法规科</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1" w:type="pct"/>
            <w:vMerge w:val="restar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8</w:t>
            </w:r>
          </w:p>
        </w:tc>
        <w:tc>
          <w:tcPr>
            <w:tcW w:w="537" w:type="pct"/>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社会保险</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（1）社会保险登记。</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公开事项信息形成或变更之日起20个工作日内公开</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restar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（2）社会保险参保信息维护，包括单位（项目）及个人基本信息变更，养老保险、工伤保险等待遇发放账户维护申请。</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（3）社会保险缴费申报。包括社会保险缴费申报与变更、欠费补缴申报、断缴补缴申报等。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（4）养老保险参保缴费记录查询、打印。</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5）养老保险服务，职工正常退休(职)申请、暂停或恢复养老保险待遇申请、个人账户一次性待遇申领、丧葬补助金、抚恤金申领、基本养老保险关系转移接续申请、军地养老保险关系转移接续申请、多重养老保险关系个人账户清退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（6）工伤保险服务，包括工伤事故备案、用人单位办理工伤登记、变更工伤登记、异地居住就医申请确认、转诊转院申请确认等。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（7）失业保险服务，包括失业保险金申领、丧葬补助金和抚恤金申领、职业培训补贴申领、职业介绍补贴申领、农民合同制工人一次性生活补助申领、失业保险关系转移接续、技能提升补贴申领等。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失业保险中心</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社保局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（8）社会保障卡服务，包括社会保障卡启用（含社会保障卡银行账户激活）、社会保障卡应用状态查询、社会保障卡信息变更（非关键信息）、社会保障卡密码修改与重置、社会保障卡挂失与解挂、注销等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电子政务中心</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1" w:type="pct"/>
            <w:vMerge w:val="restar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9</w:t>
            </w:r>
          </w:p>
        </w:tc>
        <w:tc>
          <w:tcPr>
            <w:tcW w:w="537" w:type="pct"/>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就业创业</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就业信息服务</w:t>
            </w:r>
            <w:r>
              <w:rPr>
                <w:rFonts w:hint="eastAsia" w:ascii="仿宋_GB2312" w:hAnsi="仿宋_GB2312" w:cs="仿宋_GB2312"/>
                <w:b w:val="0"/>
                <w:bCs w:val="0"/>
                <w:color w:val="auto"/>
                <w:spacing w:val="0"/>
                <w:kern w:val="2"/>
                <w:sz w:val="24"/>
                <w:szCs w:val="24"/>
                <w:highlight w:val="none"/>
                <w:vertAlign w:val="baseline"/>
                <w:lang w:val="en-US" w:eastAsia="zh-CN" w:bidi="ar-SA"/>
              </w:rPr>
              <w:t>，包括</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就业政策法规咨询</w:t>
            </w:r>
            <w:r>
              <w:rPr>
                <w:rFonts w:hint="eastAsia" w:ascii="仿宋_GB2312" w:hAnsi="仿宋_GB2312" w:cs="仿宋_GB2312"/>
                <w:b w:val="0"/>
                <w:bCs w:val="0"/>
                <w:color w:val="auto"/>
                <w:spacing w:val="0"/>
                <w:kern w:val="2"/>
                <w:sz w:val="24"/>
                <w:szCs w:val="24"/>
                <w:highlight w:val="none"/>
                <w:vertAlign w:val="baseline"/>
                <w:lang w:val="en-US" w:eastAsia="zh-CN" w:bidi="ar-SA"/>
              </w:rPr>
              <w:t>、岗位信息发布、求职信息登记、市场工资指导价位信息发布、职业培训信息发布等。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23"/>
                <w:kern w:val="2"/>
                <w:sz w:val="24"/>
                <w:szCs w:val="24"/>
                <w:highlight w:val="none"/>
                <w:vertAlign w:val="baseline"/>
                <w:lang w:val="en-US" w:eastAsia="zh-CN" w:bidi="ar-SA"/>
              </w:rPr>
            </w:pPr>
            <w:r>
              <w:rPr>
                <w:rFonts w:hint="eastAsia" w:ascii="仿宋_GB2312" w:hAnsi="仿宋_GB2312" w:cs="仿宋_GB2312"/>
                <w:b w:val="0"/>
                <w:bCs w:val="0"/>
                <w:color w:val="auto"/>
                <w:spacing w:val="-23"/>
                <w:kern w:val="2"/>
                <w:sz w:val="24"/>
                <w:szCs w:val="24"/>
                <w:highlight w:val="none"/>
                <w:vertAlign w:val="baseline"/>
                <w:lang w:val="en-US" w:eastAsia="zh-CN" w:bidi="ar-SA"/>
              </w:rPr>
              <w:t>就业促进局</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23"/>
                <w:kern w:val="2"/>
                <w:sz w:val="24"/>
                <w:szCs w:val="24"/>
                <w:highlight w:val="none"/>
                <w:vertAlign w:val="baseline"/>
                <w:lang w:val="en-US" w:eastAsia="zh-CN" w:bidi="ar-SA"/>
              </w:rPr>
            </w:pPr>
            <w:r>
              <w:rPr>
                <w:rFonts w:hint="eastAsia" w:ascii="仿宋_GB2312" w:hAnsi="仿宋_GB2312" w:cs="仿宋_GB2312"/>
                <w:b w:val="0"/>
                <w:bCs w:val="0"/>
                <w:color w:val="auto"/>
                <w:spacing w:val="-23"/>
                <w:kern w:val="2"/>
                <w:sz w:val="24"/>
                <w:szCs w:val="24"/>
                <w:highlight w:val="none"/>
                <w:vertAlign w:val="baseline"/>
                <w:lang w:val="en-US" w:eastAsia="zh-CN" w:bidi="ar-SA"/>
              </w:rPr>
              <w:t>人才交流中心</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23"/>
                <w:kern w:val="2"/>
                <w:sz w:val="24"/>
                <w:szCs w:val="24"/>
                <w:highlight w:val="none"/>
                <w:vertAlign w:val="baseline"/>
                <w:lang w:val="en-US" w:eastAsia="zh-CN" w:bidi="ar-SA"/>
              </w:rPr>
            </w:pPr>
            <w:r>
              <w:rPr>
                <w:rFonts w:hint="eastAsia" w:ascii="仿宋_GB2312" w:hAnsi="仿宋_GB2312" w:cs="仿宋_GB2312"/>
                <w:b w:val="0"/>
                <w:bCs w:val="0"/>
                <w:color w:val="auto"/>
                <w:spacing w:val="-23"/>
                <w:kern w:val="2"/>
                <w:sz w:val="24"/>
                <w:szCs w:val="24"/>
                <w:highlight w:val="none"/>
                <w:vertAlign w:val="baseline"/>
                <w:lang w:val="en-US" w:eastAsia="zh-CN" w:bidi="ar-SA"/>
              </w:rPr>
              <w:t>职业能力建设科</w:t>
            </w:r>
          </w:p>
        </w:tc>
        <w:tc>
          <w:tcPr>
            <w:tcW w:w="529" w:type="pct"/>
            <w:vMerge w:val="restar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公开事项信息形成或变更之日起20个工作日内公开</w:t>
            </w:r>
          </w:p>
        </w:tc>
        <w:tc>
          <w:tcPr>
            <w:tcW w:w="468" w:type="pct"/>
            <w:vMerge w:val="restar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（2）职业介绍、职业指导和创业开业指导，包括职业介绍、指导、创业开业指导等。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失业保险中心</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人才交流中心</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公共就业服务专项活动。</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（4）</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创业服务，包括创业补贴申领</w:t>
            </w:r>
            <w:r>
              <w:rPr>
                <w:rFonts w:hint="eastAsia" w:ascii="仿宋_GB2312" w:hAnsi="仿宋_GB2312" w:cs="仿宋_GB2312"/>
                <w:b w:val="0"/>
                <w:bCs w:val="0"/>
                <w:color w:val="auto"/>
                <w:spacing w:val="0"/>
                <w:kern w:val="2"/>
                <w:sz w:val="24"/>
                <w:szCs w:val="24"/>
                <w:highlight w:val="none"/>
                <w:vertAlign w:val="baseline"/>
                <w:lang w:val="en-US" w:eastAsia="zh-CN" w:bidi="ar-SA"/>
              </w:rPr>
              <w:t>、创业担保贷款申请等</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创业贷款担保中心</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（5）</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对就业困难人员（含建档立卡贫困劳动力）实施就业援助，包括</w:t>
            </w:r>
            <w:r>
              <w:rPr>
                <w:rFonts w:hint="eastAsia" w:ascii="仿宋_GB2312" w:hAnsi="仿宋_GB2312" w:cs="仿宋_GB2312"/>
                <w:b w:val="0"/>
                <w:bCs w:val="0"/>
                <w:color w:val="auto"/>
                <w:spacing w:val="0"/>
                <w:kern w:val="2"/>
                <w:sz w:val="24"/>
                <w:szCs w:val="24"/>
                <w:highlight w:val="none"/>
                <w:vertAlign w:val="baseline"/>
                <w:lang w:val="en-US" w:eastAsia="zh-CN" w:bidi="ar-SA"/>
              </w:rPr>
              <w:t>社会保险补贴申领、公益性岗位补贴申领、求职创业补贴申领等</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（6）</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高校毕业生就业服务</w:t>
            </w:r>
            <w:r>
              <w:rPr>
                <w:rFonts w:hint="eastAsia" w:ascii="仿宋_GB2312" w:hAnsi="仿宋_GB2312" w:cs="仿宋_GB2312"/>
                <w:b w:val="0"/>
                <w:bCs w:val="0"/>
                <w:color w:val="auto"/>
                <w:spacing w:val="0"/>
                <w:kern w:val="2"/>
                <w:sz w:val="24"/>
                <w:szCs w:val="24"/>
                <w:highlight w:val="none"/>
                <w:vertAlign w:val="baseline"/>
                <w:lang w:val="en-US" w:eastAsia="zh-CN" w:bidi="ar-SA"/>
              </w:rPr>
              <w:t>，包括高等学校等毕业生接收手续办理、求职创业补贴申领、社保补贴申领</w:t>
            </w:r>
            <w:r>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t>等。</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人力资源流动管理科</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c>
          <w:tcPr>
            <w:tcW w:w="537"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（7）基本公共就业创业政府购买服务。</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就业促进局</w:t>
            </w:r>
          </w:p>
        </w:tc>
        <w:tc>
          <w:tcPr>
            <w:tcW w:w="529" w:type="pct"/>
            <w:vMerge w:val="continue"/>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p>
        </w:tc>
        <w:tc>
          <w:tcPr>
            <w:tcW w:w="468" w:type="pct"/>
            <w:vMerge w:val="continue"/>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10</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政策解读</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（1）在政府网站设置政策解读专栏，对本部门政策进行分类解读和公开。</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相关各科室</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11</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政策解读</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（2）完善解读内容，列出解读背景、核心内容、惠民利民举措、新旧政策差异等。</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（3）丰富解读形式，除文字解读外，图表解读、视频解读、动漫解读、在线访谈等多元化解读形式比例不低于50%。</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（4）增加解读主体，发布单位主要负责人解读政策信息。</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（5）政策解读与政策文件同步发布，并与政策文件相关联。</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相关各科室</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12</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网站互动</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（1）在政府网站规范设置政务公开栏目；设置领导信箱、意见征集等交流互动栏目。</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（2）对公众诉求或提出问题留言处置、回复等工作在规定时限内完成，回复时间不超过5个工作日。</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（3）回复意见力求政策把握准确、裁量适度，语言表述清晰、措辞得当、言简意赅。</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办公室</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13</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政府网站</w:t>
            </w:r>
          </w:p>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平台建设</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default" w:ascii="仿宋_GB2312" w:hAnsi="仿宋_GB2312" w:cs="仿宋_GB2312"/>
                <w:b w:val="0"/>
                <w:bCs w:val="0"/>
                <w:color w:val="auto"/>
                <w:spacing w:val="0"/>
                <w:kern w:val="2"/>
                <w:sz w:val="24"/>
                <w:szCs w:val="24"/>
                <w:highlight w:val="none"/>
                <w:vertAlign w:val="baseline"/>
                <w:lang w:val="en-US" w:eastAsia="zh-CN" w:bidi="ar-SA"/>
              </w:rPr>
              <w:t>（1）头部标识区的国徽放置规范，展示网站规范化全称。</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default" w:ascii="仿宋_GB2312" w:hAnsi="仿宋_GB2312" w:cs="仿宋_GB2312"/>
                <w:b w:val="0"/>
                <w:bCs w:val="0"/>
                <w:color w:val="auto"/>
                <w:spacing w:val="0"/>
                <w:kern w:val="2"/>
                <w:sz w:val="24"/>
                <w:szCs w:val="24"/>
                <w:highlight w:val="none"/>
                <w:vertAlign w:val="baseline"/>
                <w:lang w:val="en-US" w:eastAsia="zh-CN" w:bidi="ar-SA"/>
              </w:rPr>
              <w:t>（2）中间内容区必备栏目设置合理规范，功能不能重叠，与政务服务网链接。</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default" w:ascii="仿宋_GB2312" w:hAnsi="仿宋_GB2312" w:cs="仿宋_GB2312"/>
                <w:b w:val="0"/>
                <w:bCs w:val="0"/>
                <w:color w:val="auto"/>
                <w:spacing w:val="0"/>
                <w:kern w:val="2"/>
                <w:sz w:val="24"/>
                <w:szCs w:val="24"/>
                <w:highlight w:val="none"/>
                <w:vertAlign w:val="baseline"/>
                <w:lang w:val="en-US" w:eastAsia="zh-CN" w:bidi="ar-SA"/>
              </w:rPr>
              <w:t>（3）底部功能区至少要列明党政机关网站标识、“我为政府网站找错”监督举报平台入口、网站标识码、网站主办评估对象及联系方式、ICP备案编号、公安机关备案标识和站点地图等内容。</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default" w:ascii="仿宋_GB2312" w:hAnsi="仿宋_GB2312" w:cs="仿宋_GB2312"/>
                <w:b w:val="0"/>
                <w:bCs w:val="0"/>
                <w:color w:val="auto"/>
                <w:spacing w:val="0"/>
                <w:kern w:val="2"/>
                <w:sz w:val="24"/>
                <w:szCs w:val="24"/>
                <w:highlight w:val="none"/>
                <w:vertAlign w:val="baseline"/>
                <w:lang w:val="en-US" w:eastAsia="zh-CN" w:bidi="ar-SA"/>
              </w:rPr>
              <w:t>（4）网站提供全文检索和智能搜索等服务功能。</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电子政务中心</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14</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政务新媒体建设</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（1）根据工作需要规范开设政务新媒体。</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（2）部门门户网站提供本级政府的政务新媒体二维码入口或链接入口，实现政府网站和政务新媒体融合发展。</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（3）政务新媒体信息与部门网站信息同步发布，保持更新频率不低于1周1次。</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电子政务中心</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1"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color w:val="auto"/>
                <w:spacing w:val="0"/>
                <w:sz w:val="24"/>
                <w:szCs w:val="24"/>
                <w:highlight w:val="none"/>
                <w:vertAlign w:val="baseline"/>
                <w:lang w:val="en-US" w:eastAsia="zh-CN"/>
              </w:rPr>
            </w:pPr>
            <w:r>
              <w:rPr>
                <w:rFonts w:hint="eastAsia" w:ascii="仿宋_GB2312" w:hAnsi="仿宋_GB2312" w:cs="仿宋_GB2312"/>
                <w:b w:val="0"/>
                <w:bCs w:val="0"/>
                <w:color w:val="auto"/>
                <w:spacing w:val="0"/>
                <w:sz w:val="24"/>
                <w:szCs w:val="24"/>
                <w:highlight w:val="none"/>
                <w:vertAlign w:val="baseline"/>
                <w:lang w:val="en-US" w:eastAsia="zh-CN"/>
              </w:rPr>
              <w:t>15</w:t>
            </w:r>
          </w:p>
        </w:tc>
        <w:tc>
          <w:tcPr>
            <w:tcW w:w="537"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楷体" w:hAnsi="楷体" w:eastAsia="楷体" w:cs="楷体"/>
                <w:b/>
                <w:bCs/>
                <w:color w:val="auto"/>
                <w:spacing w:val="0"/>
                <w:kern w:val="2"/>
                <w:sz w:val="24"/>
                <w:szCs w:val="24"/>
                <w:highlight w:val="none"/>
                <w:vertAlign w:val="baseline"/>
                <w:lang w:val="en-US" w:eastAsia="zh-CN" w:bidi="ar-SA"/>
              </w:rPr>
            </w:pPr>
            <w:r>
              <w:rPr>
                <w:rFonts w:hint="eastAsia" w:ascii="楷体" w:hAnsi="楷体" w:eastAsia="楷体" w:cs="楷体"/>
                <w:b/>
                <w:bCs/>
                <w:color w:val="auto"/>
                <w:spacing w:val="0"/>
                <w:kern w:val="2"/>
                <w:sz w:val="24"/>
                <w:szCs w:val="24"/>
                <w:highlight w:val="none"/>
                <w:vertAlign w:val="baseline"/>
                <w:lang w:val="en-US" w:eastAsia="zh-CN" w:bidi="ar-SA"/>
              </w:rPr>
              <w:t>依申请公开</w:t>
            </w:r>
          </w:p>
        </w:tc>
        <w:tc>
          <w:tcPr>
            <w:tcW w:w="2614"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（1）完善政府信息公开指南，及时调整本单位政府信息公开指南，列明申请方式、依申请答复期限、监督救济渠道和收费情况等必要内容，完善依申请公开接收、登记、办理、答复、归档等流程。</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（2）畅通申请渠道。申请人可当面或以传真、邮寄方式提交书面申请，也可通过政府网站平台在线申请或以电子邮件等方式提交申请；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eastAsia"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（3）答复及时。收到申请时，能当场答复的，应当场答复；不能当场答复的，应当自收到申请之日起20个工作日内予以答复，要做到有件必答。</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rPr>
                <w:rFonts w:hint="default" w:ascii="仿宋_GB2312" w:hAnsi="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（4）答复规范。应向申请人出具正式答复告知书，对申请人作出不利答复（部分公开、不予公开、非政府信息、信息不存在、非本机关政府信息公开范围）时，应当告知申请人法律依据、理由和救济渠道。</w:t>
            </w:r>
          </w:p>
        </w:tc>
        <w:tc>
          <w:tcPr>
            <w:tcW w:w="658"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办公室</w:t>
            </w:r>
          </w:p>
        </w:tc>
        <w:tc>
          <w:tcPr>
            <w:tcW w:w="529" w:type="pct"/>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kern w:val="2"/>
                <w:sz w:val="24"/>
                <w:szCs w:val="24"/>
                <w:highlight w:val="none"/>
                <w:vertAlign w:val="baseline"/>
                <w:lang w:val="en-US" w:eastAsia="zh-CN" w:bidi="ar-SA"/>
              </w:rPr>
            </w:pPr>
            <w:r>
              <w:rPr>
                <w:rFonts w:hint="eastAsia" w:ascii="仿宋_GB2312" w:hAnsi="仿宋_GB2312" w:cs="仿宋_GB2312"/>
                <w:b w:val="0"/>
                <w:bCs w:val="0"/>
                <w:color w:val="auto"/>
                <w:spacing w:val="0"/>
                <w:kern w:val="2"/>
                <w:sz w:val="24"/>
                <w:szCs w:val="24"/>
                <w:highlight w:val="none"/>
                <w:vertAlign w:val="baseline"/>
                <w:lang w:val="en-US" w:eastAsia="zh-CN" w:bidi="ar-SA"/>
              </w:rPr>
              <w:t>及时更新</w:t>
            </w:r>
          </w:p>
        </w:tc>
        <w:tc>
          <w:tcPr>
            <w:tcW w:w="468" w:type="pct"/>
            <w:vAlign w:val="center"/>
          </w:tcPr>
          <w:p>
            <w:pPr>
              <w:keepNext w:val="0"/>
              <w:keepLines w:val="0"/>
              <w:pageBreakBefore w:val="0"/>
              <w:widowControl w:val="0"/>
              <w:tabs>
                <w:tab w:val="left" w:pos="524"/>
              </w:tabs>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pacing w:val="0"/>
                <w:sz w:val="24"/>
                <w:szCs w:val="24"/>
                <w:highlight w:val="none"/>
                <w:vertAlign w:val="baseline"/>
                <w:lang w:val="en-US" w:eastAsia="zh-CN"/>
              </w:rPr>
            </w:pPr>
          </w:p>
        </w:tc>
      </w:tr>
    </w:tbl>
    <w:p>
      <w:pPr>
        <w:keepNext w:val="0"/>
        <w:keepLines w:val="0"/>
        <w:pageBreakBefore w:val="0"/>
        <w:widowControl w:val="0"/>
        <w:tabs>
          <w:tab w:val="left" w:pos="4483"/>
        </w:tabs>
        <w:kinsoku/>
        <w:overflowPunct/>
        <w:topLinePunct w:val="0"/>
        <w:autoSpaceDE/>
        <w:autoSpaceDN/>
        <w:bidi w:val="0"/>
        <w:adjustRightInd/>
        <w:snapToGrid/>
        <w:spacing w:line="20" w:lineRule="exact"/>
        <w:jc w:val="left"/>
        <w:textAlignment w:val="auto"/>
        <w:rPr>
          <w:lang w:val="en-US" w:eastAsia="zh-CN"/>
        </w:rPr>
      </w:pPr>
    </w:p>
    <w:p>
      <w:pPr>
        <w:keepNext w:val="0"/>
        <w:keepLines w:val="0"/>
        <w:pageBreakBefore w:val="0"/>
        <w:widowControl w:val="0"/>
        <w:tabs>
          <w:tab w:val="left" w:pos="4483"/>
        </w:tabs>
        <w:kinsoku/>
        <w:wordWrap/>
        <w:overflowPunct/>
        <w:topLinePunct w:val="0"/>
        <w:autoSpaceDE/>
        <w:autoSpaceDN/>
        <w:bidi w:val="0"/>
        <w:adjustRightInd/>
        <w:snapToGrid/>
        <w:spacing w:line="200" w:lineRule="exact"/>
        <w:jc w:val="left"/>
        <w:textAlignment w:val="auto"/>
        <w:rPr>
          <w:lang w:val="en-US" w:eastAsia="zh-CN"/>
        </w:rPr>
      </w:pPr>
    </w:p>
    <w:sectPr>
      <w:footerReference r:id="rId3" w:type="default"/>
      <w:pgSz w:w="16838" w:h="11906" w:orient="landscape"/>
      <w:pgMar w:top="1134" w:right="1134" w:bottom="1134" w:left="1134" w:header="851" w:footer="822"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3FCC"/>
    <w:rsid w:val="0000198C"/>
    <w:rsid w:val="00020198"/>
    <w:rsid w:val="0004694E"/>
    <w:rsid w:val="00060FD9"/>
    <w:rsid w:val="00066C70"/>
    <w:rsid w:val="00082FAA"/>
    <w:rsid w:val="000A239F"/>
    <w:rsid w:val="000D4358"/>
    <w:rsid w:val="000D43DC"/>
    <w:rsid w:val="000D565F"/>
    <w:rsid w:val="000E3430"/>
    <w:rsid w:val="00124856"/>
    <w:rsid w:val="00132C74"/>
    <w:rsid w:val="00133FCC"/>
    <w:rsid w:val="00135ED5"/>
    <w:rsid w:val="00162DA5"/>
    <w:rsid w:val="001640A6"/>
    <w:rsid w:val="001766F9"/>
    <w:rsid w:val="00184C43"/>
    <w:rsid w:val="001904E2"/>
    <w:rsid w:val="00192512"/>
    <w:rsid w:val="001A08F1"/>
    <w:rsid w:val="001B4823"/>
    <w:rsid w:val="001B5356"/>
    <w:rsid w:val="00221E3C"/>
    <w:rsid w:val="00237F04"/>
    <w:rsid w:val="00247ADF"/>
    <w:rsid w:val="00261FD8"/>
    <w:rsid w:val="00263063"/>
    <w:rsid w:val="0027565E"/>
    <w:rsid w:val="0028709E"/>
    <w:rsid w:val="00303CE5"/>
    <w:rsid w:val="003302E7"/>
    <w:rsid w:val="003423EC"/>
    <w:rsid w:val="00384500"/>
    <w:rsid w:val="003848DC"/>
    <w:rsid w:val="00384E02"/>
    <w:rsid w:val="003C30E5"/>
    <w:rsid w:val="00420451"/>
    <w:rsid w:val="004262AA"/>
    <w:rsid w:val="00445EA6"/>
    <w:rsid w:val="00491896"/>
    <w:rsid w:val="004D2A0B"/>
    <w:rsid w:val="004F6D70"/>
    <w:rsid w:val="00505184"/>
    <w:rsid w:val="00526A2F"/>
    <w:rsid w:val="005771E7"/>
    <w:rsid w:val="005C4A99"/>
    <w:rsid w:val="005D171E"/>
    <w:rsid w:val="00617E7B"/>
    <w:rsid w:val="00640FB1"/>
    <w:rsid w:val="006421D5"/>
    <w:rsid w:val="00666724"/>
    <w:rsid w:val="006A7B7D"/>
    <w:rsid w:val="006E539C"/>
    <w:rsid w:val="006F47E2"/>
    <w:rsid w:val="00736CC6"/>
    <w:rsid w:val="007470AA"/>
    <w:rsid w:val="00761D4D"/>
    <w:rsid w:val="00790E35"/>
    <w:rsid w:val="007B2DC4"/>
    <w:rsid w:val="007D3356"/>
    <w:rsid w:val="007E0433"/>
    <w:rsid w:val="00851832"/>
    <w:rsid w:val="00863FAD"/>
    <w:rsid w:val="00885255"/>
    <w:rsid w:val="008F3E6C"/>
    <w:rsid w:val="008F4EC3"/>
    <w:rsid w:val="008F4EC5"/>
    <w:rsid w:val="009173A9"/>
    <w:rsid w:val="00923D87"/>
    <w:rsid w:val="009345F9"/>
    <w:rsid w:val="00985F1F"/>
    <w:rsid w:val="00991A20"/>
    <w:rsid w:val="009A2088"/>
    <w:rsid w:val="009B712A"/>
    <w:rsid w:val="00A17E51"/>
    <w:rsid w:val="00A259B9"/>
    <w:rsid w:val="00A27CEA"/>
    <w:rsid w:val="00A66BC4"/>
    <w:rsid w:val="00A837A0"/>
    <w:rsid w:val="00AA288E"/>
    <w:rsid w:val="00AA6A7E"/>
    <w:rsid w:val="00AA714E"/>
    <w:rsid w:val="00AB7288"/>
    <w:rsid w:val="00AC5D8D"/>
    <w:rsid w:val="00B17EB0"/>
    <w:rsid w:val="00B36946"/>
    <w:rsid w:val="00B850AF"/>
    <w:rsid w:val="00B90CF2"/>
    <w:rsid w:val="00BD2533"/>
    <w:rsid w:val="00C06D95"/>
    <w:rsid w:val="00C22674"/>
    <w:rsid w:val="00C22778"/>
    <w:rsid w:val="00C57F36"/>
    <w:rsid w:val="00C66B02"/>
    <w:rsid w:val="00C81268"/>
    <w:rsid w:val="00C83B7E"/>
    <w:rsid w:val="00CA2C3F"/>
    <w:rsid w:val="00CB1281"/>
    <w:rsid w:val="00CC05CF"/>
    <w:rsid w:val="00CD502A"/>
    <w:rsid w:val="00D7206B"/>
    <w:rsid w:val="00D86498"/>
    <w:rsid w:val="00D92664"/>
    <w:rsid w:val="00DB6056"/>
    <w:rsid w:val="00E3033B"/>
    <w:rsid w:val="00E51C64"/>
    <w:rsid w:val="00E54BCF"/>
    <w:rsid w:val="00E7763F"/>
    <w:rsid w:val="00E9658D"/>
    <w:rsid w:val="00EE04B0"/>
    <w:rsid w:val="00EE176E"/>
    <w:rsid w:val="00EE7017"/>
    <w:rsid w:val="00F23A19"/>
    <w:rsid w:val="00F2729E"/>
    <w:rsid w:val="00F368FB"/>
    <w:rsid w:val="00F56510"/>
    <w:rsid w:val="00F7532B"/>
    <w:rsid w:val="00F85657"/>
    <w:rsid w:val="00FC1716"/>
    <w:rsid w:val="00FD1BF8"/>
    <w:rsid w:val="00FE0E57"/>
    <w:rsid w:val="00FE27FB"/>
    <w:rsid w:val="00FF503B"/>
    <w:rsid w:val="0201472C"/>
    <w:rsid w:val="024202EF"/>
    <w:rsid w:val="02AC1F63"/>
    <w:rsid w:val="02E9728C"/>
    <w:rsid w:val="02F91BE0"/>
    <w:rsid w:val="04C79AF1"/>
    <w:rsid w:val="0511539E"/>
    <w:rsid w:val="05241A8A"/>
    <w:rsid w:val="0607A07C"/>
    <w:rsid w:val="06CF6BC5"/>
    <w:rsid w:val="06E44105"/>
    <w:rsid w:val="079920C2"/>
    <w:rsid w:val="09144900"/>
    <w:rsid w:val="09F7721A"/>
    <w:rsid w:val="0A002FC3"/>
    <w:rsid w:val="0A1B7367"/>
    <w:rsid w:val="0A535C22"/>
    <w:rsid w:val="0BFF6A2A"/>
    <w:rsid w:val="0C851BFC"/>
    <w:rsid w:val="0DC35D4B"/>
    <w:rsid w:val="0DDB57FA"/>
    <w:rsid w:val="0E7FE282"/>
    <w:rsid w:val="0EFE1480"/>
    <w:rsid w:val="0F761038"/>
    <w:rsid w:val="0FDE9454"/>
    <w:rsid w:val="114D36C8"/>
    <w:rsid w:val="11C964E1"/>
    <w:rsid w:val="12450A04"/>
    <w:rsid w:val="12516ABD"/>
    <w:rsid w:val="16F5649E"/>
    <w:rsid w:val="16FFE8BC"/>
    <w:rsid w:val="1737546B"/>
    <w:rsid w:val="179F36A1"/>
    <w:rsid w:val="17AF5212"/>
    <w:rsid w:val="1877AFE4"/>
    <w:rsid w:val="19FF541C"/>
    <w:rsid w:val="1A262AC5"/>
    <w:rsid w:val="1A9C0BA3"/>
    <w:rsid w:val="1B4A5364"/>
    <w:rsid w:val="1BD6AD97"/>
    <w:rsid w:val="1BDF511B"/>
    <w:rsid w:val="1BFD6728"/>
    <w:rsid w:val="1D154D8E"/>
    <w:rsid w:val="1D93F292"/>
    <w:rsid w:val="1DB12578"/>
    <w:rsid w:val="1DDE7EF4"/>
    <w:rsid w:val="1E774855"/>
    <w:rsid w:val="1F3F56FD"/>
    <w:rsid w:val="1F943CAE"/>
    <w:rsid w:val="1FADD1B7"/>
    <w:rsid w:val="1FBC043F"/>
    <w:rsid w:val="20AA451F"/>
    <w:rsid w:val="220A5F1C"/>
    <w:rsid w:val="23434007"/>
    <w:rsid w:val="23967501"/>
    <w:rsid w:val="23FA0B3F"/>
    <w:rsid w:val="243E8075"/>
    <w:rsid w:val="24ABBC80"/>
    <w:rsid w:val="24FE7324"/>
    <w:rsid w:val="254B7032"/>
    <w:rsid w:val="25720CD3"/>
    <w:rsid w:val="259D7F0F"/>
    <w:rsid w:val="263A2765"/>
    <w:rsid w:val="266866C2"/>
    <w:rsid w:val="26A660B0"/>
    <w:rsid w:val="26F94DE4"/>
    <w:rsid w:val="2712709E"/>
    <w:rsid w:val="27EF42A3"/>
    <w:rsid w:val="27FEE67C"/>
    <w:rsid w:val="29595B40"/>
    <w:rsid w:val="2A2E1795"/>
    <w:rsid w:val="2A7C2029"/>
    <w:rsid w:val="2AE069D1"/>
    <w:rsid w:val="2B3E478F"/>
    <w:rsid w:val="2BF9F8D3"/>
    <w:rsid w:val="2CC7C9DC"/>
    <w:rsid w:val="2CCE7B65"/>
    <w:rsid w:val="2D1B3977"/>
    <w:rsid w:val="2D2921ED"/>
    <w:rsid w:val="2DB778BD"/>
    <w:rsid w:val="2DDD039F"/>
    <w:rsid w:val="2DEE7547"/>
    <w:rsid w:val="2DFF5289"/>
    <w:rsid w:val="2DFF9329"/>
    <w:rsid w:val="2E7F5B62"/>
    <w:rsid w:val="2EFF9CF8"/>
    <w:rsid w:val="2FD57D8A"/>
    <w:rsid w:val="2FDF39AC"/>
    <w:rsid w:val="30AA1BCC"/>
    <w:rsid w:val="318C584B"/>
    <w:rsid w:val="32735AC7"/>
    <w:rsid w:val="32BF2A2B"/>
    <w:rsid w:val="33553243"/>
    <w:rsid w:val="33DA41AC"/>
    <w:rsid w:val="33E4905E"/>
    <w:rsid w:val="33FEDC25"/>
    <w:rsid w:val="33FF3DA7"/>
    <w:rsid w:val="34A7249C"/>
    <w:rsid w:val="34FED687"/>
    <w:rsid w:val="366F3F8A"/>
    <w:rsid w:val="369D2510"/>
    <w:rsid w:val="372D03B1"/>
    <w:rsid w:val="376B752C"/>
    <w:rsid w:val="37A7252C"/>
    <w:rsid w:val="37FB8D28"/>
    <w:rsid w:val="37FE0A04"/>
    <w:rsid w:val="37FF6555"/>
    <w:rsid w:val="38170760"/>
    <w:rsid w:val="38183E48"/>
    <w:rsid w:val="393F4581"/>
    <w:rsid w:val="39DF93DC"/>
    <w:rsid w:val="3AB57724"/>
    <w:rsid w:val="3AD7D5DB"/>
    <w:rsid w:val="3AFF83B2"/>
    <w:rsid w:val="3B1F6262"/>
    <w:rsid w:val="3B41021B"/>
    <w:rsid w:val="3B7D7558"/>
    <w:rsid w:val="3B7DD593"/>
    <w:rsid w:val="3BBFB641"/>
    <w:rsid w:val="3BE3FA2E"/>
    <w:rsid w:val="3BFF248D"/>
    <w:rsid w:val="3CA0357A"/>
    <w:rsid w:val="3CE91893"/>
    <w:rsid w:val="3D057BE8"/>
    <w:rsid w:val="3D37123B"/>
    <w:rsid w:val="3D5EF396"/>
    <w:rsid w:val="3D6D8C6B"/>
    <w:rsid w:val="3D7321E2"/>
    <w:rsid w:val="3D757CD3"/>
    <w:rsid w:val="3D876521"/>
    <w:rsid w:val="3DB3E401"/>
    <w:rsid w:val="3DB97140"/>
    <w:rsid w:val="3DF5FA5A"/>
    <w:rsid w:val="3DFA2FFE"/>
    <w:rsid w:val="3DFA4C33"/>
    <w:rsid w:val="3E097958"/>
    <w:rsid w:val="3E1E5855"/>
    <w:rsid w:val="3E34F7B9"/>
    <w:rsid w:val="3EAFD85E"/>
    <w:rsid w:val="3EBF2BCD"/>
    <w:rsid w:val="3EBF37CB"/>
    <w:rsid w:val="3EE8156F"/>
    <w:rsid w:val="3EF75017"/>
    <w:rsid w:val="3EF7EB02"/>
    <w:rsid w:val="3EFD09D7"/>
    <w:rsid w:val="3F2FBFFF"/>
    <w:rsid w:val="3F3D6636"/>
    <w:rsid w:val="3F7D9E17"/>
    <w:rsid w:val="3F9E5516"/>
    <w:rsid w:val="3FB68EDF"/>
    <w:rsid w:val="3FB8DD5D"/>
    <w:rsid w:val="3FBF890F"/>
    <w:rsid w:val="3FBFFE86"/>
    <w:rsid w:val="3FCF4BC3"/>
    <w:rsid w:val="3FD67047"/>
    <w:rsid w:val="3FFA5673"/>
    <w:rsid w:val="3FFADDAD"/>
    <w:rsid w:val="3FFD5E28"/>
    <w:rsid w:val="3FFF0A38"/>
    <w:rsid w:val="3FFF426F"/>
    <w:rsid w:val="43AFDF89"/>
    <w:rsid w:val="43CD5779"/>
    <w:rsid w:val="44063D54"/>
    <w:rsid w:val="44F90A89"/>
    <w:rsid w:val="453F7C4C"/>
    <w:rsid w:val="456F482C"/>
    <w:rsid w:val="46611A99"/>
    <w:rsid w:val="471BD653"/>
    <w:rsid w:val="47331350"/>
    <w:rsid w:val="477ED9E8"/>
    <w:rsid w:val="47A537D0"/>
    <w:rsid w:val="48260323"/>
    <w:rsid w:val="4869065D"/>
    <w:rsid w:val="492079D9"/>
    <w:rsid w:val="49B96A74"/>
    <w:rsid w:val="49E850DA"/>
    <w:rsid w:val="4BE22B53"/>
    <w:rsid w:val="4C037F11"/>
    <w:rsid w:val="4DDC09F4"/>
    <w:rsid w:val="4DDEEAFA"/>
    <w:rsid w:val="4E72473F"/>
    <w:rsid w:val="4EEE6274"/>
    <w:rsid w:val="4F06A4B2"/>
    <w:rsid w:val="4F926846"/>
    <w:rsid w:val="4FBB28CB"/>
    <w:rsid w:val="4FEF588C"/>
    <w:rsid w:val="4FEFDB2E"/>
    <w:rsid w:val="4FFB1BC4"/>
    <w:rsid w:val="511A6B3E"/>
    <w:rsid w:val="5153520D"/>
    <w:rsid w:val="51DF2B93"/>
    <w:rsid w:val="52D708AF"/>
    <w:rsid w:val="537F93C4"/>
    <w:rsid w:val="53CD9342"/>
    <w:rsid w:val="53D10738"/>
    <w:rsid w:val="54EF261B"/>
    <w:rsid w:val="55041E72"/>
    <w:rsid w:val="551041C0"/>
    <w:rsid w:val="55824DB0"/>
    <w:rsid w:val="55BA2F73"/>
    <w:rsid w:val="560D1837"/>
    <w:rsid w:val="5619174D"/>
    <w:rsid w:val="56FF8264"/>
    <w:rsid w:val="57212EBC"/>
    <w:rsid w:val="572FFD39"/>
    <w:rsid w:val="57323771"/>
    <w:rsid w:val="576B09A7"/>
    <w:rsid w:val="57D74F7F"/>
    <w:rsid w:val="57FEE243"/>
    <w:rsid w:val="588147DD"/>
    <w:rsid w:val="58ED5BAA"/>
    <w:rsid w:val="58F0237B"/>
    <w:rsid w:val="597F2AF6"/>
    <w:rsid w:val="5A2F201B"/>
    <w:rsid w:val="5A37004A"/>
    <w:rsid w:val="5AE97214"/>
    <w:rsid w:val="5B2F55D3"/>
    <w:rsid w:val="5B7F129B"/>
    <w:rsid w:val="5BF4333E"/>
    <w:rsid w:val="5BF79FCF"/>
    <w:rsid w:val="5BFD6800"/>
    <w:rsid w:val="5D6DBA56"/>
    <w:rsid w:val="5DDF41A1"/>
    <w:rsid w:val="5DEF1B54"/>
    <w:rsid w:val="5DF3F80C"/>
    <w:rsid w:val="5DFD0C1C"/>
    <w:rsid w:val="5E1D6CDE"/>
    <w:rsid w:val="5E27EE08"/>
    <w:rsid w:val="5E375EF5"/>
    <w:rsid w:val="5E57AD7B"/>
    <w:rsid w:val="5E5BA28B"/>
    <w:rsid w:val="5E683B77"/>
    <w:rsid w:val="5ECE2244"/>
    <w:rsid w:val="5EF7319C"/>
    <w:rsid w:val="5EFDB809"/>
    <w:rsid w:val="5F76217E"/>
    <w:rsid w:val="5F7D6AEB"/>
    <w:rsid w:val="5FAFE029"/>
    <w:rsid w:val="5FDF7670"/>
    <w:rsid w:val="5FF33343"/>
    <w:rsid w:val="5FF7BA4D"/>
    <w:rsid w:val="5FFC315C"/>
    <w:rsid w:val="5FFE2273"/>
    <w:rsid w:val="5FFFC147"/>
    <w:rsid w:val="60610BA3"/>
    <w:rsid w:val="60DECCB6"/>
    <w:rsid w:val="614123B8"/>
    <w:rsid w:val="62144B3F"/>
    <w:rsid w:val="621D7FB9"/>
    <w:rsid w:val="63361768"/>
    <w:rsid w:val="639A5A2D"/>
    <w:rsid w:val="650C6D40"/>
    <w:rsid w:val="6577396E"/>
    <w:rsid w:val="65C3D046"/>
    <w:rsid w:val="662F5940"/>
    <w:rsid w:val="66D654DD"/>
    <w:rsid w:val="66E72BF9"/>
    <w:rsid w:val="676F5B85"/>
    <w:rsid w:val="677EEA21"/>
    <w:rsid w:val="67996FE6"/>
    <w:rsid w:val="67BAA11A"/>
    <w:rsid w:val="67FF100D"/>
    <w:rsid w:val="67FF5DA6"/>
    <w:rsid w:val="67FFC5E6"/>
    <w:rsid w:val="68B41310"/>
    <w:rsid w:val="692F2F5C"/>
    <w:rsid w:val="69AE1F5C"/>
    <w:rsid w:val="69F100ED"/>
    <w:rsid w:val="69FD5AD9"/>
    <w:rsid w:val="6AB408E1"/>
    <w:rsid w:val="6B6260F3"/>
    <w:rsid w:val="6B8715C4"/>
    <w:rsid w:val="6BAF916E"/>
    <w:rsid w:val="6BFB0116"/>
    <w:rsid w:val="6BFD5E18"/>
    <w:rsid w:val="6C5D2D66"/>
    <w:rsid w:val="6CD90E1C"/>
    <w:rsid w:val="6CFCF981"/>
    <w:rsid w:val="6D0DA007"/>
    <w:rsid w:val="6D2F4BAE"/>
    <w:rsid w:val="6DACC068"/>
    <w:rsid w:val="6DAD76F3"/>
    <w:rsid w:val="6DBBF416"/>
    <w:rsid w:val="6DF5EAF5"/>
    <w:rsid w:val="6DF7575D"/>
    <w:rsid w:val="6DF78F80"/>
    <w:rsid w:val="6E276CCE"/>
    <w:rsid w:val="6E7EBE3D"/>
    <w:rsid w:val="6EBC81F3"/>
    <w:rsid w:val="6EBFEE5C"/>
    <w:rsid w:val="6ECD4541"/>
    <w:rsid w:val="6EE73EAB"/>
    <w:rsid w:val="6EF24EF4"/>
    <w:rsid w:val="6EF4446C"/>
    <w:rsid w:val="6EFDB305"/>
    <w:rsid w:val="6EFE7BB3"/>
    <w:rsid w:val="6F334E34"/>
    <w:rsid w:val="6F7CCA98"/>
    <w:rsid w:val="6F7F6394"/>
    <w:rsid w:val="6FB2E53E"/>
    <w:rsid w:val="6FDF30BE"/>
    <w:rsid w:val="6FE7077F"/>
    <w:rsid w:val="6FF3C4D3"/>
    <w:rsid w:val="6FF746C4"/>
    <w:rsid w:val="6FF9207D"/>
    <w:rsid w:val="6FFB292C"/>
    <w:rsid w:val="6FFD8915"/>
    <w:rsid w:val="7017662F"/>
    <w:rsid w:val="702257AA"/>
    <w:rsid w:val="707B7C10"/>
    <w:rsid w:val="716F9359"/>
    <w:rsid w:val="71AFAB5C"/>
    <w:rsid w:val="71C524F4"/>
    <w:rsid w:val="71EBD0EF"/>
    <w:rsid w:val="72677D00"/>
    <w:rsid w:val="72F775EC"/>
    <w:rsid w:val="73885701"/>
    <w:rsid w:val="74882E3D"/>
    <w:rsid w:val="74C0727A"/>
    <w:rsid w:val="74F6C4B7"/>
    <w:rsid w:val="75661E75"/>
    <w:rsid w:val="757D351C"/>
    <w:rsid w:val="757F8E76"/>
    <w:rsid w:val="758513FD"/>
    <w:rsid w:val="75DF67DD"/>
    <w:rsid w:val="76097CBD"/>
    <w:rsid w:val="761D9C41"/>
    <w:rsid w:val="7639E4AF"/>
    <w:rsid w:val="76503711"/>
    <w:rsid w:val="766D50A4"/>
    <w:rsid w:val="76D7E0CD"/>
    <w:rsid w:val="76DF45CB"/>
    <w:rsid w:val="76EFA29C"/>
    <w:rsid w:val="772F5623"/>
    <w:rsid w:val="773C5F85"/>
    <w:rsid w:val="77431771"/>
    <w:rsid w:val="776FF8C8"/>
    <w:rsid w:val="77770AEB"/>
    <w:rsid w:val="777F918D"/>
    <w:rsid w:val="777FAB20"/>
    <w:rsid w:val="779E5136"/>
    <w:rsid w:val="77BB8F78"/>
    <w:rsid w:val="77CD36C9"/>
    <w:rsid w:val="77DF41E7"/>
    <w:rsid w:val="77F9ECA1"/>
    <w:rsid w:val="78550442"/>
    <w:rsid w:val="78AE3278"/>
    <w:rsid w:val="78FFD131"/>
    <w:rsid w:val="793A0C82"/>
    <w:rsid w:val="797E3985"/>
    <w:rsid w:val="798FD859"/>
    <w:rsid w:val="79D72CBD"/>
    <w:rsid w:val="7A1A6C4F"/>
    <w:rsid w:val="7A36F793"/>
    <w:rsid w:val="7A57410B"/>
    <w:rsid w:val="7ADFFA73"/>
    <w:rsid w:val="7AF7F05F"/>
    <w:rsid w:val="7AFD364E"/>
    <w:rsid w:val="7B37727B"/>
    <w:rsid w:val="7B6D45FA"/>
    <w:rsid w:val="7B6F8629"/>
    <w:rsid w:val="7BB1A0A3"/>
    <w:rsid w:val="7BDFF9BA"/>
    <w:rsid w:val="7BE85CF5"/>
    <w:rsid w:val="7BF3F654"/>
    <w:rsid w:val="7BFF38BC"/>
    <w:rsid w:val="7C7428F6"/>
    <w:rsid w:val="7C7F2DF6"/>
    <w:rsid w:val="7CB36D9F"/>
    <w:rsid w:val="7CFA6797"/>
    <w:rsid w:val="7CFBD52F"/>
    <w:rsid w:val="7CFD1E06"/>
    <w:rsid w:val="7CFF1ED4"/>
    <w:rsid w:val="7D2C7D22"/>
    <w:rsid w:val="7D4290C2"/>
    <w:rsid w:val="7D6725CD"/>
    <w:rsid w:val="7D77665E"/>
    <w:rsid w:val="7D7B25F9"/>
    <w:rsid w:val="7D7BEB07"/>
    <w:rsid w:val="7D7F41FC"/>
    <w:rsid w:val="7DBFE357"/>
    <w:rsid w:val="7DC562EB"/>
    <w:rsid w:val="7DC638BD"/>
    <w:rsid w:val="7DE5FF61"/>
    <w:rsid w:val="7DE7F092"/>
    <w:rsid w:val="7DF53F6F"/>
    <w:rsid w:val="7DF61614"/>
    <w:rsid w:val="7DFB2B9F"/>
    <w:rsid w:val="7DFB7A65"/>
    <w:rsid w:val="7DFE3583"/>
    <w:rsid w:val="7E1F2251"/>
    <w:rsid w:val="7E3D2B2C"/>
    <w:rsid w:val="7E5F1A16"/>
    <w:rsid w:val="7E5FBCC2"/>
    <w:rsid w:val="7E6C82A5"/>
    <w:rsid w:val="7E7F647B"/>
    <w:rsid w:val="7E7FC80F"/>
    <w:rsid w:val="7EA818BA"/>
    <w:rsid w:val="7EB80223"/>
    <w:rsid w:val="7EFE14F1"/>
    <w:rsid w:val="7F3F93B0"/>
    <w:rsid w:val="7F4A23AD"/>
    <w:rsid w:val="7F557A0E"/>
    <w:rsid w:val="7F5B1862"/>
    <w:rsid w:val="7F5DF4E0"/>
    <w:rsid w:val="7F7419CB"/>
    <w:rsid w:val="7F7B6E7E"/>
    <w:rsid w:val="7F7C09CE"/>
    <w:rsid w:val="7F7D7CCA"/>
    <w:rsid w:val="7F7E8D08"/>
    <w:rsid w:val="7F7F0662"/>
    <w:rsid w:val="7F7FF079"/>
    <w:rsid w:val="7F8BA873"/>
    <w:rsid w:val="7F9C55BE"/>
    <w:rsid w:val="7FA5B212"/>
    <w:rsid w:val="7FB3409F"/>
    <w:rsid w:val="7FB74987"/>
    <w:rsid w:val="7FBECBD2"/>
    <w:rsid w:val="7FCE982B"/>
    <w:rsid w:val="7FD318FA"/>
    <w:rsid w:val="7FD54ADB"/>
    <w:rsid w:val="7FDA269D"/>
    <w:rsid w:val="7FDD10D4"/>
    <w:rsid w:val="7FDFC472"/>
    <w:rsid w:val="7FE7FFA1"/>
    <w:rsid w:val="7FEAB169"/>
    <w:rsid w:val="7FED0F33"/>
    <w:rsid w:val="7FED2144"/>
    <w:rsid w:val="7FEDF6AD"/>
    <w:rsid w:val="7FEE54F9"/>
    <w:rsid w:val="7FEF614E"/>
    <w:rsid w:val="7FEFA19B"/>
    <w:rsid w:val="7FF95528"/>
    <w:rsid w:val="7FFC053F"/>
    <w:rsid w:val="7FFE2754"/>
    <w:rsid w:val="7FFE2E55"/>
    <w:rsid w:val="7FFE7A24"/>
    <w:rsid w:val="7FFEDABB"/>
    <w:rsid w:val="7FFEFFBE"/>
    <w:rsid w:val="7FFF1820"/>
    <w:rsid w:val="7FFF3234"/>
    <w:rsid w:val="7FFF367D"/>
    <w:rsid w:val="7FFF4840"/>
    <w:rsid w:val="7FFF5E7A"/>
    <w:rsid w:val="7FFFA008"/>
    <w:rsid w:val="8FFE2031"/>
    <w:rsid w:val="8FFF0050"/>
    <w:rsid w:val="977EC445"/>
    <w:rsid w:val="97BE15B3"/>
    <w:rsid w:val="97E35DB2"/>
    <w:rsid w:val="9BD53AD2"/>
    <w:rsid w:val="9D4B5CFF"/>
    <w:rsid w:val="9D6D3579"/>
    <w:rsid w:val="9DF31976"/>
    <w:rsid w:val="9F4DE7FF"/>
    <w:rsid w:val="9FBBC24B"/>
    <w:rsid w:val="9FFF2889"/>
    <w:rsid w:val="A3F3F30C"/>
    <w:rsid w:val="A5DB7912"/>
    <w:rsid w:val="A70B7162"/>
    <w:rsid w:val="A9FD6327"/>
    <w:rsid w:val="AF6D604F"/>
    <w:rsid w:val="AFB16701"/>
    <w:rsid w:val="AFB49365"/>
    <w:rsid w:val="AFDD399B"/>
    <w:rsid w:val="AFDD8FE6"/>
    <w:rsid w:val="AFF5B036"/>
    <w:rsid w:val="AFFA4F0D"/>
    <w:rsid w:val="AFFBD36A"/>
    <w:rsid w:val="AFFF701D"/>
    <w:rsid w:val="B3BD7D7E"/>
    <w:rsid w:val="B5EE98A4"/>
    <w:rsid w:val="B6DEC120"/>
    <w:rsid w:val="B6FEF323"/>
    <w:rsid w:val="B6FEF6E7"/>
    <w:rsid w:val="B77F90B6"/>
    <w:rsid w:val="B7C89CBD"/>
    <w:rsid w:val="B8EF6CA1"/>
    <w:rsid w:val="B99F6526"/>
    <w:rsid w:val="BA5E1849"/>
    <w:rsid w:val="BA7B23C6"/>
    <w:rsid w:val="BB7F5495"/>
    <w:rsid w:val="BBF9538E"/>
    <w:rsid w:val="BBFE52A0"/>
    <w:rsid w:val="BC73DD96"/>
    <w:rsid w:val="BCDFD554"/>
    <w:rsid w:val="BDBF9B63"/>
    <w:rsid w:val="BDCDB898"/>
    <w:rsid w:val="BDFA4E3A"/>
    <w:rsid w:val="BDFFC626"/>
    <w:rsid w:val="BEBB5A63"/>
    <w:rsid w:val="BEF92151"/>
    <w:rsid w:val="BF55DE70"/>
    <w:rsid w:val="BF5E4142"/>
    <w:rsid w:val="BF67D0DF"/>
    <w:rsid w:val="BFB88D95"/>
    <w:rsid w:val="BFBB45ED"/>
    <w:rsid w:val="BFDF44C3"/>
    <w:rsid w:val="BFFF3FDF"/>
    <w:rsid w:val="C6BE509C"/>
    <w:rsid w:val="C77FA509"/>
    <w:rsid w:val="C9FF6AEF"/>
    <w:rsid w:val="CB46034A"/>
    <w:rsid w:val="CBF79674"/>
    <w:rsid w:val="CDFF626F"/>
    <w:rsid w:val="CEEF87A6"/>
    <w:rsid w:val="CF6C9C90"/>
    <w:rsid w:val="CF7BB081"/>
    <w:rsid w:val="CFB51519"/>
    <w:rsid w:val="CFBB97B3"/>
    <w:rsid w:val="CFBBA971"/>
    <w:rsid w:val="CFD7A0E9"/>
    <w:rsid w:val="CFDDE88E"/>
    <w:rsid w:val="CFFFCCE0"/>
    <w:rsid w:val="CFFFF985"/>
    <w:rsid w:val="D0F6C194"/>
    <w:rsid w:val="D27BFD84"/>
    <w:rsid w:val="D3FDFABF"/>
    <w:rsid w:val="D5739C6D"/>
    <w:rsid w:val="D5F81307"/>
    <w:rsid w:val="D71744B6"/>
    <w:rsid w:val="D7CDA665"/>
    <w:rsid w:val="D7FA32A3"/>
    <w:rsid w:val="D7FB9B86"/>
    <w:rsid w:val="D9B3DC9A"/>
    <w:rsid w:val="D9FE18F2"/>
    <w:rsid w:val="DAF9482B"/>
    <w:rsid w:val="DB3D7551"/>
    <w:rsid w:val="DBBD151F"/>
    <w:rsid w:val="DBFBE04A"/>
    <w:rsid w:val="DBFFB1F8"/>
    <w:rsid w:val="DDCA8B9C"/>
    <w:rsid w:val="DDF8C487"/>
    <w:rsid w:val="DDFBA469"/>
    <w:rsid w:val="DDFE3AE6"/>
    <w:rsid w:val="DDFFD8E3"/>
    <w:rsid w:val="DEBECADF"/>
    <w:rsid w:val="DED7B6C1"/>
    <w:rsid w:val="DEFD5F3B"/>
    <w:rsid w:val="DF3FA4EB"/>
    <w:rsid w:val="DF5E3421"/>
    <w:rsid w:val="DF80D851"/>
    <w:rsid w:val="DF852FC0"/>
    <w:rsid w:val="DFB1643B"/>
    <w:rsid w:val="DFBFA238"/>
    <w:rsid w:val="DFD3D459"/>
    <w:rsid w:val="DFDBBE92"/>
    <w:rsid w:val="DFDFE0D8"/>
    <w:rsid w:val="DFED2DFA"/>
    <w:rsid w:val="DFF0DF01"/>
    <w:rsid w:val="DFF3B7C1"/>
    <w:rsid w:val="DFF640E9"/>
    <w:rsid w:val="DFFDC5C8"/>
    <w:rsid w:val="E43CDF82"/>
    <w:rsid w:val="E4CC0DCE"/>
    <w:rsid w:val="E5FFE586"/>
    <w:rsid w:val="E75A57E6"/>
    <w:rsid w:val="E7FDE22F"/>
    <w:rsid w:val="E7FFF1EF"/>
    <w:rsid w:val="EABBD522"/>
    <w:rsid w:val="EADF2637"/>
    <w:rsid w:val="EAEE683C"/>
    <w:rsid w:val="EB4E06F5"/>
    <w:rsid w:val="EBED47AB"/>
    <w:rsid w:val="EBEE3C5D"/>
    <w:rsid w:val="EBEFEB9A"/>
    <w:rsid w:val="EBF31571"/>
    <w:rsid w:val="EBF538AE"/>
    <w:rsid w:val="ECFD69B5"/>
    <w:rsid w:val="ED670638"/>
    <w:rsid w:val="ED71F46A"/>
    <w:rsid w:val="EE9F4BEF"/>
    <w:rsid w:val="EEB95D2A"/>
    <w:rsid w:val="EEBBCC99"/>
    <w:rsid w:val="EEDEF10F"/>
    <w:rsid w:val="EF5788C0"/>
    <w:rsid w:val="EF7E68C2"/>
    <w:rsid w:val="EF7F67A0"/>
    <w:rsid w:val="EF7FA32C"/>
    <w:rsid w:val="EFCE5F74"/>
    <w:rsid w:val="EFD3CA6A"/>
    <w:rsid w:val="EFDDDB66"/>
    <w:rsid w:val="EFDFF3AC"/>
    <w:rsid w:val="EFEDAD64"/>
    <w:rsid w:val="EFEFF69B"/>
    <w:rsid w:val="EFF55C93"/>
    <w:rsid w:val="EFFADB87"/>
    <w:rsid w:val="EFFB22D3"/>
    <w:rsid w:val="EFFB4CFF"/>
    <w:rsid w:val="EFFBB45A"/>
    <w:rsid w:val="F1B3E014"/>
    <w:rsid w:val="F1ED4271"/>
    <w:rsid w:val="F343A350"/>
    <w:rsid w:val="F375D997"/>
    <w:rsid w:val="F3BFE9C0"/>
    <w:rsid w:val="F3EC082A"/>
    <w:rsid w:val="F3F529F2"/>
    <w:rsid w:val="F57EBFC8"/>
    <w:rsid w:val="F5DF6AA8"/>
    <w:rsid w:val="F5FB084D"/>
    <w:rsid w:val="F65A8F6D"/>
    <w:rsid w:val="F77B21DF"/>
    <w:rsid w:val="F77E2D73"/>
    <w:rsid w:val="F7B5EB2A"/>
    <w:rsid w:val="F7C69DFC"/>
    <w:rsid w:val="F7C92410"/>
    <w:rsid w:val="F7DF06A1"/>
    <w:rsid w:val="F7EDFD91"/>
    <w:rsid w:val="F7F68874"/>
    <w:rsid w:val="F7FE13FB"/>
    <w:rsid w:val="F83FA9B5"/>
    <w:rsid w:val="F8FB72B5"/>
    <w:rsid w:val="F94B4DAA"/>
    <w:rsid w:val="FA76F038"/>
    <w:rsid w:val="FA76F594"/>
    <w:rsid w:val="FAB3B0DE"/>
    <w:rsid w:val="FADDE8C2"/>
    <w:rsid w:val="FAFD0B8A"/>
    <w:rsid w:val="FB3EDF14"/>
    <w:rsid w:val="FB69FE1D"/>
    <w:rsid w:val="FB7A19F3"/>
    <w:rsid w:val="FB9F305A"/>
    <w:rsid w:val="FBC21BD6"/>
    <w:rsid w:val="FBDF3426"/>
    <w:rsid w:val="FBEEBBCB"/>
    <w:rsid w:val="FBF32E49"/>
    <w:rsid w:val="FBF7F384"/>
    <w:rsid w:val="FBFDF399"/>
    <w:rsid w:val="FCACDFCF"/>
    <w:rsid w:val="FCB9D7B9"/>
    <w:rsid w:val="FCBDDD9F"/>
    <w:rsid w:val="FCDFB51B"/>
    <w:rsid w:val="FCF3CCD2"/>
    <w:rsid w:val="FCF7015F"/>
    <w:rsid w:val="FD1E432C"/>
    <w:rsid w:val="FD5647C0"/>
    <w:rsid w:val="FD6CCDFB"/>
    <w:rsid w:val="FDAD874E"/>
    <w:rsid w:val="FDAFB221"/>
    <w:rsid w:val="FDB784C1"/>
    <w:rsid w:val="FDBFD512"/>
    <w:rsid w:val="FDE6BE0F"/>
    <w:rsid w:val="FDF4F0B0"/>
    <w:rsid w:val="FDFE776C"/>
    <w:rsid w:val="FDFF3ACA"/>
    <w:rsid w:val="FDFF8B75"/>
    <w:rsid w:val="FDFFF09F"/>
    <w:rsid w:val="FE0F368E"/>
    <w:rsid w:val="FE573D5A"/>
    <w:rsid w:val="FE5B5B47"/>
    <w:rsid w:val="FE734873"/>
    <w:rsid w:val="FE7FC875"/>
    <w:rsid w:val="FE9EAF8D"/>
    <w:rsid w:val="FEBFD79C"/>
    <w:rsid w:val="FEDF0E6E"/>
    <w:rsid w:val="FEED9510"/>
    <w:rsid w:val="FEF32AE1"/>
    <w:rsid w:val="FEF7E2FA"/>
    <w:rsid w:val="FEFD3EE7"/>
    <w:rsid w:val="FEFE91B2"/>
    <w:rsid w:val="FEFF0105"/>
    <w:rsid w:val="FEFF660F"/>
    <w:rsid w:val="FF0F9817"/>
    <w:rsid w:val="FF2FAF4C"/>
    <w:rsid w:val="FF3FFA47"/>
    <w:rsid w:val="FF5F0FE8"/>
    <w:rsid w:val="FF5F88AB"/>
    <w:rsid w:val="FF62D3E0"/>
    <w:rsid w:val="FF648F4A"/>
    <w:rsid w:val="FF6F6309"/>
    <w:rsid w:val="FF6FAF1A"/>
    <w:rsid w:val="FF72CC81"/>
    <w:rsid w:val="FF77018B"/>
    <w:rsid w:val="FF7796ED"/>
    <w:rsid w:val="FF7C9072"/>
    <w:rsid w:val="FF7E4308"/>
    <w:rsid w:val="FF8F1613"/>
    <w:rsid w:val="FFA78F7F"/>
    <w:rsid w:val="FFB12980"/>
    <w:rsid w:val="FFB55787"/>
    <w:rsid w:val="FFB98678"/>
    <w:rsid w:val="FFBE6A58"/>
    <w:rsid w:val="FFBEE68D"/>
    <w:rsid w:val="FFBF26D6"/>
    <w:rsid w:val="FFCE5A8C"/>
    <w:rsid w:val="FFCF2529"/>
    <w:rsid w:val="FFD75916"/>
    <w:rsid w:val="FFD9B4C9"/>
    <w:rsid w:val="FFDB2678"/>
    <w:rsid w:val="FFDF1C36"/>
    <w:rsid w:val="FFDFA6C1"/>
    <w:rsid w:val="FFDFCB7F"/>
    <w:rsid w:val="FFE72D84"/>
    <w:rsid w:val="FFEAE15F"/>
    <w:rsid w:val="FFEBF206"/>
    <w:rsid w:val="FFEE361B"/>
    <w:rsid w:val="FFEFE562"/>
    <w:rsid w:val="FFF3CF42"/>
    <w:rsid w:val="FFF3F78C"/>
    <w:rsid w:val="FFF51D02"/>
    <w:rsid w:val="FFF7D980"/>
    <w:rsid w:val="FFF7EE7B"/>
    <w:rsid w:val="FFFD4D43"/>
    <w:rsid w:val="FFFDC180"/>
    <w:rsid w:val="FFFDC23D"/>
    <w:rsid w:val="FFFE00FB"/>
    <w:rsid w:val="FFFF9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000000"/>
      <w:u w:val="single"/>
    </w:rPr>
  </w:style>
  <w:style w:type="character" w:styleId="11">
    <w:name w:val="Hyperlink"/>
    <w:basedOn w:val="9"/>
    <w:semiHidden/>
    <w:unhideWhenUsed/>
    <w:qFormat/>
    <w:uiPriority w:val="99"/>
    <w:rPr>
      <w:color w:val="000000"/>
      <w:u w:val="single"/>
    </w:rPr>
  </w:style>
  <w:style w:type="character" w:customStyle="1" w:styleId="12">
    <w:name w:val="页眉 Char"/>
    <w:basedOn w:val="9"/>
    <w:link w:val="4"/>
    <w:semiHidden/>
    <w:qFormat/>
    <w:uiPriority w:val="99"/>
    <w:rPr>
      <w:sz w:val="18"/>
      <w:szCs w:val="18"/>
    </w:rPr>
  </w:style>
  <w:style w:type="character" w:customStyle="1" w:styleId="13">
    <w:name w:val="页脚 Char"/>
    <w:basedOn w:val="9"/>
    <w:link w:val="3"/>
    <w:qFormat/>
    <w:uiPriority w:val="99"/>
    <w:rPr>
      <w:sz w:val="18"/>
      <w:szCs w:val="18"/>
    </w:rPr>
  </w:style>
  <w:style w:type="character" w:customStyle="1" w:styleId="14">
    <w:name w:val="pic"/>
    <w:basedOn w:val="9"/>
    <w:qFormat/>
    <w:uiPriority w:val="0"/>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1342</Characters>
  <Lines>11</Lines>
  <Paragraphs>3</Paragraphs>
  <TotalTime>0</TotalTime>
  <ScaleCrop>false</ScaleCrop>
  <LinksUpToDate>false</LinksUpToDate>
  <CharactersWithSpaces>1574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2018-10-29T09:54:00Z</dcterms:created>
  <dc:creator>Administrator</dc:creator>
  <cp:lastModifiedBy>WPS_1613987117</cp:lastModifiedBy>
  <cp:lastPrinted>2021-08-06T03:29:00Z</cp:lastPrinted>
  <dcterms:modified xsi:type="dcterms:W3CDTF">2021-08-06T10:01:55Z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A557709BEE9747269E545C03B516E18C</vt:lpwstr>
  </property>
</Properties>
</file>