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829" w:type="dxa"/>
        <w:tblInd w:w="93" w:type="dxa"/>
        <w:shd w:val="clear" w:color="auto" w:fill="FFFFFF"/>
        <w:tblLayout w:type="fixed"/>
        <w:tblCellMar>
          <w:top w:w="0" w:type="dxa"/>
          <w:left w:w="0" w:type="dxa"/>
          <w:bottom w:w="0" w:type="dxa"/>
          <w:right w:w="0" w:type="dxa"/>
        </w:tblCellMar>
      </w:tblPr>
      <w:tblGrid>
        <w:gridCol w:w="880"/>
        <w:gridCol w:w="1420"/>
        <w:gridCol w:w="1543"/>
        <w:gridCol w:w="3102"/>
        <w:gridCol w:w="1960"/>
        <w:gridCol w:w="939"/>
        <w:gridCol w:w="2425"/>
        <w:gridCol w:w="1600"/>
        <w:gridCol w:w="781"/>
        <w:gridCol w:w="179"/>
      </w:tblGrid>
      <w:tr>
        <w:tblPrEx>
          <w:shd w:val="clear" w:color="auto" w:fill="FFFFFF"/>
          <w:tblLayout w:type="fixed"/>
          <w:tblCellMar>
            <w:top w:w="0" w:type="dxa"/>
            <w:left w:w="0" w:type="dxa"/>
            <w:bottom w:w="0" w:type="dxa"/>
            <w:right w:w="0" w:type="dxa"/>
          </w:tblCellMar>
        </w:tblPrEx>
        <w:trPr>
          <w:gridAfter w:val="1"/>
          <w:wAfter w:w="179" w:type="dxa"/>
          <w:trHeight w:val="882" w:hRule="atLeast"/>
        </w:trPr>
        <w:tc>
          <w:tcPr>
            <w:tcW w:w="14650" w:type="dxa"/>
            <w:gridSpan w:val="9"/>
            <w:shd w:val="clear" w:color="auto" w:fill="FFFFFF"/>
            <w:tcMar>
              <w:top w:w="0" w:type="dxa"/>
              <w:left w:w="108" w:type="dxa"/>
              <w:bottom w:w="0" w:type="dxa"/>
              <w:right w:w="108" w:type="dxa"/>
            </w:tcMar>
            <w:vAlign w:val="center"/>
          </w:tcPr>
          <w:p>
            <w:pPr>
              <w:widowControl/>
              <w:spacing w:line="315" w:lineRule="atLeast"/>
              <w:jc w:val="both"/>
              <w:rPr>
                <w:rFonts w:ascii="Calibri" w:hAnsi="Calibri" w:eastAsia="宋体" w:cs="宋体"/>
                <w:b/>
                <w:color w:val="000000"/>
                <w:kern w:val="0"/>
                <w:sz w:val="44"/>
                <w:szCs w:val="44"/>
              </w:rPr>
            </w:pPr>
            <w:r>
              <w:rPr>
                <w:rFonts w:hint="eastAsia" w:ascii="黑体" w:hAnsi="黑体" w:eastAsia="黑体" w:cs="黑体"/>
                <w:b w:val="0"/>
                <w:bCs/>
                <w:color w:val="000000"/>
                <w:kern w:val="0"/>
                <w:sz w:val="32"/>
                <w:szCs w:val="32"/>
                <w:lang w:eastAsia="zh-CN"/>
              </w:rPr>
              <w:t>附件</w:t>
            </w:r>
            <w:r>
              <w:rPr>
                <w:rFonts w:hint="eastAsia" w:ascii="黑体" w:hAnsi="黑体" w:eastAsia="黑体" w:cs="黑体"/>
                <w:b w:val="0"/>
                <w:bCs/>
                <w:color w:val="000000"/>
                <w:kern w:val="0"/>
                <w:sz w:val="32"/>
                <w:szCs w:val="32"/>
                <w:lang w:val="en-US" w:eastAsia="zh-CN"/>
              </w:rPr>
              <w:t>1</w:t>
            </w:r>
            <w:r>
              <w:rPr>
                <w:rFonts w:hint="eastAsia" w:ascii="宋体" w:hAnsi="宋体" w:eastAsia="宋体" w:cs="宋体"/>
                <w:b/>
                <w:color w:val="000000"/>
                <w:kern w:val="0"/>
                <w:sz w:val="36"/>
                <w:szCs w:val="36"/>
                <w:lang w:val="en-US" w:eastAsia="zh-CN"/>
              </w:rPr>
              <w:t xml:space="preserve">   </w:t>
            </w:r>
            <w:r>
              <w:rPr>
                <w:rFonts w:hint="eastAsia" w:ascii="宋体" w:hAnsi="宋体" w:eastAsia="宋体" w:cs="宋体"/>
                <w:b/>
                <w:color w:val="000000"/>
                <w:kern w:val="0"/>
                <w:sz w:val="36"/>
                <w:szCs w:val="36"/>
              </w:rPr>
              <w:t>平顶山市</w:t>
            </w:r>
            <w:r>
              <w:rPr>
                <w:rFonts w:hint="eastAsia" w:ascii="宋体" w:hAnsi="宋体" w:eastAsia="宋体" w:cs="宋体"/>
                <w:b/>
                <w:color w:val="000000"/>
                <w:kern w:val="0"/>
                <w:sz w:val="36"/>
                <w:szCs w:val="36"/>
                <w:lang w:eastAsia="zh-CN"/>
              </w:rPr>
              <w:t>人力资源和社会保障局</w:t>
            </w:r>
            <w:r>
              <w:rPr>
                <w:rFonts w:hint="eastAsia" w:ascii="宋体" w:hAnsi="宋体" w:eastAsia="宋体" w:cs="宋体"/>
                <w:b/>
                <w:color w:val="000000"/>
                <w:kern w:val="0"/>
                <w:sz w:val="36"/>
                <w:szCs w:val="36"/>
              </w:rPr>
              <w:t>经营者违法风险点梳理及指导措施汇总表</w:t>
            </w:r>
          </w:p>
        </w:tc>
      </w:tr>
      <w:tr>
        <w:tblPrEx>
          <w:shd w:val="clear" w:color="auto" w:fill="FFFFFF"/>
          <w:tblLayout w:type="fixed"/>
          <w:tblCellMar>
            <w:top w:w="0" w:type="dxa"/>
            <w:left w:w="0" w:type="dxa"/>
            <w:bottom w:w="0" w:type="dxa"/>
            <w:right w:w="0" w:type="dxa"/>
          </w:tblCellMar>
        </w:tblPrEx>
        <w:trPr>
          <w:trHeight w:val="522" w:hRule="atLeast"/>
        </w:trPr>
        <w:tc>
          <w:tcPr>
            <w:tcW w:w="6945" w:type="dxa"/>
            <w:gridSpan w:val="4"/>
            <w:shd w:val="clear" w:color="auto" w:fill="FFFFFF"/>
            <w:tcMar>
              <w:top w:w="0" w:type="dxa"/>
              <w:left w:w="108" w:type="dxa"/>
              <w:bottom w:w="0" w:type="dxa"/>
              <w:right w:w="108" w:type="dxa"/>
            </w:tcMar>
            <w:vAlign w:val="center"/>
          </w:tcPr>
          <w:p>
            <w:pPr>
              <w:widowControl/>
              <w:spacing w:line="315" w:lineRule="atLeast"/>
              <w:jc w:val="left"/>
              <w:rPr>
                <w:rFonts w:ascii="Calibri" w:hAnsi="Calibri" w:eastAsia="宋体" w:cs="宋体"/>
                <w:color w:val="000000"/>
                <w:kern w:val="0"/>
                <w:szCs w:val="21"/>
              </w:rPr>
            </w:pPr>
            <w:r>
              <w:rPr>
                <w:rFonts w:hint="eastAsia" w:ascii="宋体" w:hAnsi="宋体" w:eastAsia="宋体" w:cs="宋体"/>
                <w:color w:val="000000"/>
                <w:kern w:val="0"/>
                <w:sz w:val="24"/>
                <w:szCs w:val="24"/>
              </w:rPr>
              <w:t>填报单位：平顶山市</w:t>
            </w:r>
            <w:r>
              <w:rPr>
                <w:rFonts w:hint="eastAsia" w:ascii="宋体" w:hAnsi="宋体" w:eastAsia="宋体" w:cs="宋体"/>
                <w:color w:val="000000"/>
                <w:kern w:val="0"/>
                <w:sz w:val="24"/>
                <w:szCs w:val="24"/>
                <w:lang w:eastAsia="zh-CN"/>
              </w:rPr>
              <w:t>人力资源和社会保障</w:t>
            </w:r>
            <w:r>
              <w:rPr>
                <w:rFonts w:hint="eastAsia" w:ascii="宋体" w:hAnsi="宋体" w:eastAsia="宋体" w:cs="宋体"/>
                <w:color w:val="000000"/>
                <w:kern w:val="0"/>
                <w:sz w:val="24"/>
                <w:szCs w:val="24"/>
              </w:rPr>
              <w:t>局</w:t>
            </w:r>
          </w:p>
        </w:tc>
        <w:tc>
          <w:tcPr>
            <w:tcW w:w="1960" w:type="dxa"/>
            <w:shd w:val="clear" w:color="auto" w:fill="FFFFFF"/>
            <w:tcMar>
              <w:top w:w="0" w:type="dxa"/>
              <w:left w:w="108" w:type="dxa"/>
              <w:bottom w:w="0" w:type="dxa"/>
              <w:right w:w="108" w:type="dxa"/>
            </w:tcMar>
            <w:vAlign w:val="center"/>
          </w:tcPr>
          <w:p>
            <w:pPr>
              <w:widowControl/>
              <w:spacing w:line="315" w:lineRule="atLeast"/>
              <w:jc w:val="left"/>
              <w:rPr>
                <w:rFonts w:ascii="Calibri" w:hAnsi="Calibri" w:eastAsia="宋体" w:cs="宋体"/>
                <w:color w:val="000000"/>
                <w:kern w:val="0"/>
                <w:szCs w:val="21"/>
              </w:rPr>
            </w:pPr>
            <w:r>
              <w:rPr>
                <w:rFonts w:hint="eastAsia" w:ascii="宋体" w:hAnsi="宋体" w:eastAsia="宋体" w:cs="宋体"/>
                <w:color w:val="000000"/>
                <w:kern w:val="0"/>
                <w:sz w:val="24"/>
                <w:szCs w:val="24"/>
              </w:rPr>
              <w:t>　</w:t>
            </w:r>
          </w:p>
        </w:tc>
        <w:tc>
          <w:tcPr>
            <w:tcW w:w="939" w:type="dxa"/>
            <w:shd w:val="clear" w:color="auto" w:fill="FFFFFF"/>
            <w:tcMar>
              <w:top w:w="0" w:type="dxa"/>
              <w:left w:w="108" w:type="dxa"/>
              <w:bottom w:w="0" w:type="dxa"/>
              <w:right w:w="108" w:type="dxa"/>
            </w:tcMar>
            <w:vAlign w:val="center"/>
          </w:tcPr>
          <w:p>
            <w:pPr>
              <w:widowControl/>
              <w:spacing w:line="315" w:lineRule="atLeast"/>
              <w:jc w:val="left"/>
              <w:rPr>
                <w:rFonts w:ascii="Calibri" w:hAnsi="Calibri" w:eastAsia="宋体" w:cs="宋体"/>
                <w:color w:val="000000"/>
                <w:kern w:val="0"/>
                <w:szCs w:val="21"/>
              </w:rPr>
            </w:pPr>
            <w:r>
              <w:rPr>
                <w:rFonts w:hint="eastAsia" w:ascii="宋体" w:hAnsi="宋体" w:eastAsia="宋体" w:cs="宋体"/>
                <w:color w:val="000000"/>
                <w:kern w:val="0"/>
                <w:sz w:val="24"/>
                <w:szCs w:val="24"/>
              </w:rPr>
              <w:t>　</w:t>
            </w:r>
          </w:p>
        </w:tc>
        <w:tc>
          <w:tcPr>
            <w:tcW w:w="4985" w:type="dxa"/>
            <w:gridSpan w:val="4"/>
            <w:shd w:val="clear" w:color="auto" w:fill="FFFFFF"/>
            <w:tcMar>
              <w:top w:w="0" w:type="dxa"/>
              <w:left w:w="108" w:type="dxa"/>
              <w:bottom w:w="0" w:type="dxa"/>
              <w:right w:w="108" w:type="dxa"/>
            </w:tcMar>
            <w:vAlign w:val="center"/>
          </w:tcPr>
          <w:p>
            <w:pPr>
              <w:widowControl/>
              <w:spacing w:line="315" w:lineRule="atLeast"/>
              <w:ind w:right="480"/>
              <w:rPr>
                <w:rFonts w:ascii="Calibri" w:hAnsi="Calibri" w:eastAsia="宋体" w:cs="宋体"/>
                <w:color w:val="000000"/>
                <w:kern w:val="0"/>
                <w:szCs w:val="21"/>
              </w:rPr>
            </w:pPr>
            <w:r>
              <w:rPr>
                <w:rFonts w:hint="eastAsia" w:ascii="宋体" w:hAnsi="宋体" w:eastAsia="宋体" w:cs="宋体"/>
                <w:color w:val="000000"/>
                <w:kern w:val="0"/>
                <w:sz w:val="24"/>
                <w:szCs w:val="24"/>
              </w:rPr>
              <w:t>填报日期： 2017年</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月25日</w:t>
            </w:r>
          </w:p>
        </w:tc>
      </w:tr>
      <w:tr>
        <w:tblPrEx>
          <w:shd w:val="clear" w:color="auto" w:fill="FFFFFF"/>
          <w:tblLayout w:type="fixed"/>
          <w:tblCellMar>
            <w:top w:w="0" w:type="dxa"/>
            <w:left w:w="0" w:type="dxa"/>
            <w:bottom w:w="0" w:type="dxa"/>
            <w:right w:w="0" w:type="dxa"/>
          </w:tblCellMar>
        </w:tblPrEx>
        <w:trPr>
          <w:trHeight w:val="1080" w:hRule="atLeast"/>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序号</w:t>
            </w:r>
          </w:p>
        </w:tc>
        <w:tc>
          <w:tcPr>
            <w:tcW w:w="14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经营者（行政相对人）</w:t>
            </w:r>
          </w:p>
        </w:tc>
        <w:tc>
          <w:tcPr>
            <w:tcW w:w="1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经营者类别（）</w:t>
            </w:r>
          </w:p>
        </w:tc>
        <w:tc>
          <w:tcPr>
            <w:tcW w:w="31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违法风险点</w:t>
            </w:r>
          </w:p>
        </w:tc>
        <w:tc>
          <w:tcPr>
            <w:tcW w:w="19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行政处罚或行政强制依据</w:t>
            </w:r>
          </w:p>
        </w:tc>
        <w:tc>
          <w:tcPr>
            <w:tcW w:w="93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风险级别</w:t>
            </w:r>
          </w:p>
        </w:tc>
        <w:tc>
          <w:tcPr>
            <w:tcW w:w="2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指导方式及措施</w:t>
            </w:r>
          </w:p>
        </w:tc>
        <w:tc>
          <w:tcPr>
            <w:tcW w:w="1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指导平台</w:t>
            </w:r>
          </w:p>
        </w:tc>
        <w:tc>
          <w:tcPr>
            <w:tcW w:w="960"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备注</w:t>
            </w:r>
          </w:p>
        </w:tc>
      </w:tr>
      <w:tr>
        <w:tblPrEx>
          <w:shd w:val="clear" w:color="auto" w:fill="FFFFFF"/>
          <w:tblLayout w:type="fixed"/>
          <w:tblCellMar>
            <w:top w:w="0" w:type="dxa"/>
            <w:left w:w="0" w:type="dxa"/>
            <w:bottom w:w="0" w:type="dxa"/>
            <w:right w:w="0" w:type="dxa"/>
          </w:tblCellMar>
        </w:tblPrEx>
        <w:trPr>
          <w:trHeight w:val="540" w:hRule="atLeast"/>
        </w:trPr>
        <w:tc>
          <w:tcPr>
            <w:tcW w:w="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01</w:t>
            </w:r>
          </w:p>
        </w:tc>
        <w:tc>
          <w:tcPr>
            <w:tcW w:w="1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单位或个人</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法人、非法人组织、自然人</w:t>
            </w:r>
          </w:p>
        </w:tc>
        <w:tc>
          <w:tcPr>
            <w:tcW w:w="3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单位或个人骗取社会保险基金方面的行政处罚</w:t>
            </w:r>
          </w:p>
        </w:tc>
        <w:tc>
          <w:tcPr>
            <w:tcW w:w="1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《社会保险法》第八十八条、《工伤保险条例》第六十条</w:t>
            </w:r>
          </w:p>
        </w:tc>
        <w:tc>
          <w:tcPr>
            <w:tcW w:w="9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中风险</w:t>
            </w:r>
          </w:p>
        </w:tc>
        <w:tc>
          <w:tcPr>
            <w:tcW w:w="2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提示、宣传以书面形式向相对人宣传、解释法律、法规和政策</w:t>
            </w:r>
          </w:p>
        </w:tc>
        <w:tc>
          <w:tcPr>
            <w:tcW w:w="1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w:t>
            </w:r>
            <w:r>
              <w:rPr>
                <w:rFonts w:hint="eastAsia" w:cs="宋体" w:asciiTheme="minorEastAsia" w:hAnsiTheme="minorEastAsia"/>
                <w:color w:val="000000"/>
                <w:kern w:val="0"/>
                <w:szCs w:val="21"/>
                <w:lang w:eastAsia="zh-CN"/>
              </w:rPr>
              <w:t>人社系统网站、</w:t>
            </w:r>
            <w:r>
              <w:rPr>
                <w:rFonts w:hint="eastAsia" w:cs="宋体" w:asciiTheme="minorEastAsia" w:hAnsiTheme="minorEastAsia"/>
                <w:color w:val="000000"/>
                <w:kern w:val="0"/>
                <w:szCs w:val="21"/>
              </w:rPr>
              <w:t>宣传彩页、展板、行政指导文书</w:t>
            </w:r>
          </w:p>
        </w:tc>
        <w:tc>
          <w:tcPr>
            <w:tcW w:w="96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shd w:val="clear" w:color="auto" w:fill="FFFFFF"/>
          <w:tblLayout w:type="fixed"/>
          <w:tblCellMar>
            <w:top w:w="0" w:type="dxa"/>
            <w:left w:w="0" w:type="dxa"/>
            <w:bottom w:w="0" w:type="dxa"/>
            <w:right w:w="0" w:type="dxa"/>
          </w:tblCellMar>
        </w:tblPrEx>
        <w:trPr>
          <w:trHeight w:val="540" w:hRule="atLeast"/>
        </w:trPr>
        <w:tc>
          <w:tcPr>
            <w:tcW w:w="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02</w:t>
            </w:r>
          </w:p>
        </w:tc>
        <w:tc>
          <w:tcPr>
            <w:tcW w:w="1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单位或个人</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法人、非法人组织</w:t>
            </w:r>
          </w:p>
        </w:tc>
        <w:tc>
          <w:tcPr>
            <w:tcW w:w="3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非法招用未满十六周岁未成年人的、未按规定保存或伪造录用登记材料的、介绍不满十六周岁未成年人就业的处罚</w:t>
            </w:r>
          </w:p>
        </w:tc>
        <w:tc>
          <w:tcPr>
            <w:tcW w:w="1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《劳动法》第九十四条、《禁止使用童工规定》第六条</w:t>
            </w:r>
          </w:p>
        </w:tc>
        <w:tc>
          <w:tcPr>
            <w:tcW w:w="9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中低、风险</w:t>
            </w:r>
          </w:p>
        </w:tc>
        <w:tc>
          <w:tcPr>
            <w:tcW w:w="2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提示、宣传以书面形式向相对人宣传、解释法律、法规和政策</w:t>
            </w:r>
          </w:p>
        </w:tc>
        <w:tc>
          <w:tcPr>
            <w:tcW w:w="1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w:t>
            </w:r>
            <w:r>
              <w:rPr>
                <w:rFonts w:hint="eastAsia" w:cs="宋体" w:asciiTheme="minorEastAsia" w:hAnsiTheme="minorEastAsia"/>
                <w:color w:val="000000"/>
                <w:kern w:val="0"/>
                <w:szCs w:val="21"/>
                <w:lang w:eastAsia="zh-CN"/>
              </w:rPr>
              <w:t>人社系统网站、</w:t>
            </w:r>
            <w:r>
              <w:rPr>
                <w:rFonts w:hint="eastAsia" w:cs="宋体" w:asciiTheme="minorEastAsia" w:hAnsiTheme="minorEastAsia"/>
                <w:color w:val="000000"/>
                <w:kern w:val="0"/>
                <w:szCs w:val="21"/>
              </w:rPr>
              <w:t>宣传彩页、展板、行政指导文书</w:t>
            </w:r>
          </w:p>
        </w:tc>
        <w:tc>
          <w:tcPr>
            <w:tcW w:w="96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shd w:val="clear" w:color="auto" w:fill="FFFFFF"/>
          <w:tblLayout w:type="fixed"/>
          <w:tblCellMar>
            <w:top w:w="0" w:type="dxa"/>
            <w:left w:w="0" w:type="dxa"/>
            <w:bottom w:w="0" w:type="dxa"/>
            <w:right w:w="0" w:type="dxa"/>
          </w:tblCellMar>
        </w:tblPrEx>
        <w:trPr>
          <w:trHeight w:val="540" w:hRule="atLeast"/>
        </w:trPr>
        <w:tc>
          <w:tcPr>
            <w:tcW w:w="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03</w:t>
            </w:r>
          </w:p>
        </w:tc>
        <w:tc>
          <w:tcPr>
            <w:tcW w:w="1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eastAsia="zh-CN"/>
              </w:rPr>
              <w:t>用人</w:t>
            </w:r>
            <w:r>
              <w:rPr>
                <w:rFonts w:hint="eastAsia" w:cs="宋体" w:asciiTheme="minorEastAsia" w:hAnsiTheme="minorEastAsia"/>
                <w:color w:val="000000"/>
                <w:kern w:val="0"/>
                <w:szCs w:val="21"/>
              </w:rPr>
              <w:t>单位</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法人、非法人组织</w:t>
            </w:r>
          </w:p>
        </w:tc>
        <w:tc>
          <w:tcPr>
            <w:tcW w:w="3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用人单位违反女职工特殊劳动保护规定和未成年人劳动保护规定的处罚</w:t>
            </w:r>
          </w:p>
        </w:tc>
        <w:tc>
          <w:tcPr>
            <w:tcW w:w="1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《劳动法》第九十五条 、《劳动保障监察条例》第二十三条、</w:t>
            </w:r>
            <w:r>
              <w:rPr>
                <w:rFonts w:hint="eastAsia" w:cs="宋体" w:asciiTheme="minorEastAsia" w:hAnsiTheme="minorEastAsia"/>
                <w:color w:val="000000"/>
                <w:kern w:val="0"/>
                <w:szCs w:val="21"/>
              </w:rPr>
              <w:t>《河南省劳动保障监察条例》第二十三条</w:t>
            </w:r>
          </w:p>
        </w:tc>
        <w:tc>
          <w:tcPr>
            <w:tcW w:w="9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eastAsia="zh-CN"/>
              </w:rPr>
              <w:t>低</w:t>
            </w:r>
            <w:r>
              <w:rPr>
                <w:rFonts w:hint="eastAsia" w:cs="宋体" w:asciiTheme="minorEastAsia" w:hAnsiTheme="minorEastAsia"/>
                <w:color w:val="000000"/>
                <w:kern w:val="0"/>
                <w:szCs w:val="21"/>
              </w:rPr>
              <w:t>风险　</w:t>
            </w:r>
          </w:p>
        </w:tc>
        <w:tc>
          <w:tcPr>
            <w:tcW w:w="2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提示、宣传、约谈、（在执法检查中发现该类场所存在的普遍性问题，可以约见其相关负责人进行谈话劝勉）</w:t>
            </w:r>
          </w:p>
        </w:tc>
        <w:tc>
          <w:tcPr>
            <w:tcW w:w="1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w:t>
            </w:r>
            <w:r>
              <w:rPr>
                <w:rFonts w:hint="eastAsia" w:cs="宋体" w:asciiTheme="minorEastAsia" w:hAnsiTheme="minorEastAsia"/>
                <w:color w:val="000000"/>
                <w:kern w:val="0"/>
                <w:szCs w:val="21"/>
                <w:lang w:eastAsia="zh-CN"/>
              </w:rPr>
              <w:t>人社系统网站、</w:t>
            </w:r>
            <w:r>
              <w:rPr>
                <w:rFonts w:hint="eastAsia" w:cs="宋体" w:asciiTheme="minorEastAsia" w:hAnsiTheme="minorEastAsia"/>
                <w:color w:val="000000"/>
                <w:kern w:val="0"/>
                <w:szCs w:val="21"/>
              </w:rPr>
              <w:t>宣传彩页、展板、行政指导文书</w:t>
            </w:r>
          </w:p>
        </w:tc>
        <w:tc>
          <w:tcPr>
            <w:tcW w:w="96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shd w:val="clear" w:color="auto" w:fill="FFFFFF"/>
          <w:tblLayout w:type="fixed"/>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04</w:t>
            </w:r>
          </w:p>
        </w:tc>
        <w:tc>
          <w:tcPr>
            <w:tcW w:w="1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eastAsia="zh-CN"/>
              </w:rPr>
              <w:t>用人</w:t>
            </w:r>
            <w:r>
              <w:rPr>
                <w:rFonts w:hint="eastAsia" w:cs="宋体" w:asciiTheme="minorEastAsia" w:hAnsiTheme="minorEastAsia"/>
                <w:color w:val="000000"/>
                <w:kern w:val="0"/>
                <w:szCs w:val="21"/>
              </w:rPr>
              <w:t>单位</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法人、非法人组织</w:t>
            </w:r>
          </w:p>
        </w:tc>
        <w:tc>
          <w:tcPr>
            <w:tcW w:w="3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职业介绍机构、职业技能培训机构、职业技能考核鉴定机构违反国家有关规定，及未经许可从事职业介绍、职业技能培训、职业技能考核鉴定的，责令改正、没收违法所得、罚款、吊销许可证</w:t>
            </w:r>
            <w:r>
              <w:rPr>
                <w:rFonts w:hint="eastAsia" w:cs="宋体" w:asciiTheme="minorEastAsia" w:hAnsiTheme="minorEastAsia"/>
                <w:color w:val="000000"/>
                <w:kern w:val="0"/>
                <w:sz w:val="18"/>
                <w:szCs w:val="18"/>
                <w:lang w:eastAsia="zh-CN"/>
              </w:rPr>
              <w:t>。</w:t>
            </w:r>
          </w:p>
        </w:tc>
        <w:tc>
          <w:tcPr>
            <w:tcW w:w="1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《就业促进法》第六十四条、《劳动保障监察条例》第二十八条</w:t>
            </w:r>
          </w:p>
        </w:tc>
        <w:tc>
          <w:tcPr>
            <w:tcW w:w="9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eastAsia="zh-CN"/>
              </w:rPr>
              <w:t>低</w:t>
            </w:r>
            <w:r>
              <w:rPr>
                <w:rFonts w:hint="eastAsia" w:cs="宋体" w:asciiTheme="minorEastAsia" w:hAnsiTheme="minorEastAsia"/>
                <w:color w:val="000000"/>
                <w:kern w:val="0"/>
                <w:szCs w:val="21"/>
              </w:rPr>
              <w:t>风险</w:t>
            </w:r>
          </w:p>
        </w:tc>
        <w:tc>
          <w:tcPr>
            <w:tcW w:w="2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提示、宣传、约谈、（在执法检查中发现企业存在的普遍性问题，可约见其相关负责人进行谈话劝勉、培训教育）</w:t>
            </w:r>
          </w:p>
        </w:tc>
        <w:tc>
          <w:tcPr>
            <w:tcW w:w="1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w:t>
            </w:r>
            <w:r>
              <w:rPr>
                <w:rFonts w:hint="eastAsia" w:cs="宋体" w:asciiTheme="minorEastAsia" w:hAnsiTheme="minorEastAsia"/>
                <w:color w:val="000000"/>
                <w:kern w:val="0"/>
                <w:szCs w:val="21"/>
                <w:lang w:eastAsia="zh-CN"/>
              </w:rPr>
              <w:t>人社系统网站、</w:t>
            </w:r>
            <w:r>
              <w:rPr>
                <w:rFonts w:hint="eastAsia" w:cs="宋体" w:asciiTheme="minorEastAsia" w:hAnsiTheme="minorEastAsia"/>
                <w:color w:val="000000"/>
                <w:kern w:val="0"/>
                <w:szCs w:val="21"/>
              </w:rPr>
              <w:t>宣传彩页、展板、行政指导文书</w:t>
            </w:r>
          </w:p>
        </w:tc>
        <w:tc>
          <w:tcPr>
            <w:tcW w:w="96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shd w:val="clear" w:color="auto" w:fill="FFFFFF"/>
          <w:tblLayout w:type="fixed"/>
          <w:tblCellMar>
            <w:top w:w="0" w:type="dxa"/>
            <w:left w:w="0" w:type="dxa"/>
            <w:bottom w:w="0" w:type="dxa"/>
            <w:right w:w="0" w:type="dxa"/>
          </w:tblCellMar>
        </w:tblPrEx>
        <w:trPr>
          <w:trHeight w:val="540" w:hRule="atLeast"/>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05</w:t>
            </w:r>
          </w:p>
        </w:tc>
        <w:tc>
          <w:tcPr>
            <w:tcW w:w="14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单位或个人</w:t>
            </w:r>
          </w:p>
        </w:tc>
        <w:tc>
          <w:tcPr>
            <w:tcW w:w="154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法人、非法人组织、自然人</w:t>
            </w:r>
          </w:p>
        </w:tc>
        <w:tc>
          <w:tcPr>
            <w:tcW w:w="31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行政管理相对人抗拒或者阻挠劳动保障行政部门的劳动保障监察行为，拒不履行相关义务，打击报复举报人、投诉人的，责令改正、警告、罚款。</w:t>
            </w:r>
          </w:p>
        </w:tc>
        <w:tc>
          <w:tcPr>
            <w:tcW w:w="19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《劳动保障监察条例》第三十条、《河南省劳动保障监察条例》第二十四条</w:t>
            </w:r>
          </w:p>
        </w:tc>
        <w:tc>
          <w:tcPr>
            <w:tcW w:w="93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中、高风险</w:t>
            </w:r>
          </w:p>
        </w:tc>
        <w:tc>
          <w:tcPr>
            <w:tcW w:w="24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　提示、宣传（在违法行为易发场所以书面形式向相对人宣传、解释法律、法规和政策）</w:t>
            </w:r>
          </w:p>
        </w:tc>
        <w:tc>
          <w:tcPr>
            <w:tcW w:w="16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　</w:t>
            </w:r>
          </w:p>
        </w:tc>
      </w:tr>
      <w:tr>
        <w:tblPrEx>
          <w:shd w:val="clear" w:color="auto" w:fill="FFFFFF"/>
          <w:tblLayout w:type="fixed"/>
          <w:tblCellMar>
            <w:top w:w="0" w:type="dxa"/>
            <w:left w:w="0" w:type="dxa"/>
            <w:bottom w:w="0" w:type="dxa"/>
            <w:right w:w="0" w:type="dxa"/>
          </w:tblCellMar>
        </w:tblPrEx>
        <w:trPr>
          <w:trHeight w:val="540" w:hRule="atLeast"/>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p>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06</w:t>
            </w:r>
          </w:p>
        </w:tc>
        <w:tc>
          <w:tcPr>
            <w:tcW w:w="14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单位或个人</w:t>
            </w:r>
          </w:p>
        </w:tc>
        <w:tc>
          <w:tcPr>
            <w:tcW w:w="1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法人、非法人组织、自然人</w:t>
            </w:r>
          </w:p>
        </w:tc>
        <w:tc>
          <w:tcPr>
            <w:tcW w:w="31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从事劳动能力鉴定的组织或者个人提供虚假鉴定意见、虚假诊断证明、收受当事人财物的，责令改正、罚款</w:t>
            </w:r>
          </w:p>
        </w:tc>
        <w:tc>
          <w:tcPr>
            <w:tcW w:w="19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《工伤保险条例》第六十一条</w:t>
            </w:r>
          </w:p>
        </w:tc>
        <w:tc>
          <w:tcPr>
            <w:tcW w:w="93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中、低风险</w:t>
            </w:r>
          </w:p>
        </w:tc>
        <w:tc>
          <w:tcPr>
            <w:tcW w:w="2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　提示、宣传、约谈、建议（在违法行为易发场所如饲料经营门市以书面形式向相对人宣传、解释法律、法规和政策并对其相关负责人进行谈话劝勉、培训教育）</w:t>
            </w:r>
          </w:p>
        </w:tc>
        <w:tc>
          <w:tcPr>
            <w:tcW w:w="1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p>
        </w:tc>
      </w:tr>
      <w:tr>
        <w:tblPrEx>
          <w:shd w:val="clear" w:color="auto" w:fill="FFFFFF"/>
          <w:tblLayout w:type="fixed"/>
          <w:tblCellMar>
            <w:top w:w="0" w:type="dxa"/>
            <w:left w:w="0" w:type="dxa"/>
            <w:bottom w:w="0" w:type="dxa"/>
            <w:right w:w="0" w:type="dxa"/>
          </w:tblCellMar>
        </w:tblPrEx>
        <w:trPr>
          <w:trHeight w:val="3330" w:hRule="atLeast"/>
        </w:trPr>
        <w:tc>
          <w:tcPr>
            <w:tcW w:w="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07</w:t>
            </w:r>
          </w:p>
        </w:tc>
        <w:tc>
          <w:tcPr>
            <w:tcW w:w="1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用人单位</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缴费单位未按照规定办理社会保险登记、变更登记或者注销登记，或者未按照规定申报应缴纳的社会保险费数额的，责令限期改正、罚款</w:t>
            </w:r>
          </w:p>
        </w:tc>
        <w:tc>
          <w:tcPr>
            <w:tcW w:w="1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《社会保险法》第八十四条、《社会保险费征缴暂行条例》第二十三条、《社会保险费征缴监督检查办法》第十二条</w:t>
            </w:r>
          </w:p>
        </w:tc>
        <w:tc>
          <w:tcPr>
            <w:tcW w:w="9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中、高风险</w:t>
            </w:r>
          </w:p>
        </w:tc>
        <w:tc>
          <w:tcPr>
            <w:tcW w:w="2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提示、宣传、约谈、建议（在违法行为易发场所以书面形式向相对人宣传、解释法律、法规和政策并对其相关负责人进行谈话劝勉、培训教育）</w:t>
            </w:r>
          </w:p>
        </w:tc>
        <w:tc>
          <w:tcPr>
            <w:tcW w:w="1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hint="eastAsia" w:cs="宋体" w:asciiTheme="minorEastAsia" w:hAnsiTheme="minorEastAsia"/>
                <w:color w:val="000000"/>
                <w:kern w:val="0"/>
                <w:szCs w:val="21"/>
                <w:lang w:eastAsia="zh-CN"/>
              </w:rPr>
            </w:pPr>
          </w:p>
        </w:tc>
      </w:tr>
      <w:tr>
        <w:tblPrEx>
          <w:shd w:val="clear" w:color="auto" w:fill="FFFFFF"/>
          <w:tblLayout w:type="fixed"/>
          <w:tblCellMar>
            <w:top w:w="0" w:type="dxa"/>
            <w:left w:w="0" w:type="dxa"/>
            <w:bottom w:w="0" w:type="dxa"/>
            <w:right w:w="0" w:type="dxa"/>
          </w:tblCellMar>
        </w:tblPrEx>
        <w:trPr>
          <w:trHeight w:val="2454" w:hRule="atLeast"/>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08</w:t>
            </w:r>
          </w:p>
        </w:tc>
        <w:tc>
          <w:tcPr>
            <w:tcW w:w="14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用人单位</w:t>
            </w:r>
          </w:p>
        </w:tc>
        <w:tc>
          <w:tcPr>
            <w:tcW w:w="154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法人、非法人组织</w:t>
            </w:r>
          </w:p>
        </w:tc>
        <w:tc>
          <w:tcPr>
            <w:tcW w:w="31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缴费单位违反有关财务、会</w:t>
            </w:r>
          </w:p>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计、统计的法律、行政法规</w:t>
            </w:r>
          </w:p>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和国家有关规定，伪造、变</w:t>
            </w:r>
          </w:p>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造、故意毁灭有关账册、材</w:t>
            </w:r>
          </w:p>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料，或者不设账册，致使社</w:t>
            </w:r>
          </w:p>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会保险费基数无法确定或者迟延缴纳的，加收滞纳金、罚款</w:t>
            </w:r>
          </w:p>
        </w:tc>
        <w:tc>
          <w:tcPr>
            <w:tcW w:w="19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《社会保险费征缴暂行条例》第二十四条、《社会保险费征缴监督检查办法》第十三条</w:t>
            </w:r>
          </w:p>
        </w:tc>
        <w:tc>
          <w:tcPr>
            <w:tcW w:w="93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中、高风险</w:t>
            </w:r>
          </w:p>
        </w:tc>
        <w:tc>
          <w:tcPr>
            <w:tcW w:w="24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提示、宣传、约谈、建议（在违法行为易发场所以书面形式向相对人宣传、解释法律、法规和政策并对其相关负责人进行谈话劝勉、培训教育</w:t>
            </w:r>
            <w:r>
              <w:rPr>
                <w:rFonts w:hint="eastAsia" w:cs="宋体" w:asciiTheme="minorEastAsia" w:hAnsiTheme="minorEastAsia"/>
                <w:color w:val="000000"/>
                <w:kern w:val="0"/>
                <w:szCs w:val="21"/>
                <w:lang w:eastAsia="zh-CN"/>
              </w:rPr>
              <w:t>。</w:t>
            </w:r>
            <w:r>
              <w:rPr>
                <w:rFonts w:hint="eastAsia" w:cs="宋体" w:asciiTheme="minorEastAsia" w:hAnsiTheme="minorEastAsia"/>
                <w:color w:val="000000"/>
                <w:kern w:val="0"/>
                <w:szCs w:val="21"/>
              </w:rPr>
              <w:t>）</w:t>
            </w:r>
          </w:p>
        </w:tc>
        <w:tc>
          <w:tcPr>
            <w:tcW w:w="16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2280" w:hRule="atLeast"/>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09</w:t>
            </w:r>
          </w:p>
        </w:tc>
        <w:tc>
          <w:tcPr>
            <w:tcW w:w="14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用人单位</w:t>
            </w:r>
          </w:p>
        </w:tc>
        <w:tc>
          <w:tcPr>
            <w:tcW w:w="1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法人、非法人组织</w:t>
            </w:r>
          </w:p>
        </w:tc>
        <w:tc>
          <w:tcPr>
            <w:tcW w:w="31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用人单位违反规定向劳动者收取或变相收取保证金、抵押金及其他不合理费用，或者扣押个人证件的，责令退还、罚款</w:t>
            </w:r>
          </w:p>
        </w:tc>
        <w:tc>
          <w:tcPr>
            <w:tcW w:w="19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《劳动合同法》第八十四条、《河南省劳动保障监察条例》第十九条</w:t>
            </w:r>
          </w:p>
        </w:tc>
        <w:tc>
          <w:tcPr>
            <w:tcW w:w="93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中、高风险</w:t>
            </w:r>
          </w:p>
        </w:tc>
        <w:tc>
          <w:tcPr>
            <w:tcW w:w="2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提示、宣传、约谈、建议（在违法行为易发场所以书面形式向相对人宣传、解释法律、法规和政策并对其相关负责人进行谈话劝勉、培训教育）</w:t>
            </w:r>
          </w:p>
        </w:tc>
        <w:tc>
          <w:tcPr>
            <w:tcW w:w="1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2756" w:hRule="atLeast"/>
        </w:trPr>
        <w:tc>
          <w:tcPr>
            <w:tcW w:w="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w:t>
            </w:r>
          </w:p>
        </w:tc>
        <w:tc>
          <w:tcPr>
            <w:tcW w:w="1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用人单位</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法人、非法人组织</w:t>
            </w:r>
          </w:p>
        </w:tc>
        <w:tc>
          <w:tcPr>
            <w:tcW w:w="3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职业中介机构违反规定向劳动者收取或变相收取保证金、抵押金及其他不合理费用，或者扣押个人证件的</w:t>
            </w:r>
            <w:r>
              <w:rPr>
                <w:rFonts w:hint="eastAsia" w:cs="宋体" w:asciiTheme="minorEastAsia" w:hAnsiTheme="minorEastAsia"/>
                <w:color w:val="000000"/>
                <w:kern w:val="0"/>
                <w:szCs w:val="21"/>
                <w:lang w:eastAsia="zh-CN"/>
              </w:rPr>
              <w:t>处罚</w:t>
            </w:r>
          </w:p>
        </w:tc>
        <w:tc>
          <w:tcPr>
            <w:tcW w:w="1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《就业促进法》第六十六条</w:t>
            </w:r>
          </w:p>
        </w:tc>
        <w:tc>
          <w:tcPr>
            <w:tcW w:w="9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lang w:eastAsia="zh-CN"/>
              </w:rPr>
              <w:t>中、</w:t>
            </w:r>
            <w:r>
              <w:rPr>
                <w:rFonts w:hint="eastAsia" w:cs="宋体" w:asciiTheme="minorEastAsia" w:hAnsiTheme="minorEastAsia"/>
                <w:color w:val="000000"/>
                <w:kern w:val="0"/>
                <w:szCs w:val="21"/>
              </w:rPr>
              <w:t>高风险</w:t>
            </w:r>
          </w:p>
        </w:tc>
        <w:tc>
          <w:tcPr>
            <w:tcW w:w="2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提示、宣传、约谈、建议（在违法行为易发场所以书面形式向相对人宣传、解释法律、法规和政策并对其相关负责人进行谈话劝勉、培训教育）</w:t>
            </w:r>
          </w:p>
        </w:tc>
        <w:tc>
          <w:tcPr>
            <w:tcW w:w="1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540" w:hRule="atLeast"/>
        </w:trPr>
        <w:tc>
          <w:tcPr>
            <w:tcW w:w="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11</w:t>
            </w:r>
          </w:p>
        </w:tc>
        <w:tc>
          <w:tcPr>
            <w:tcW w:w="1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用人单位</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法人、非法人组织</w:t>
            </w:r>
          </w:p>
        </w:tc>
        <w:tc>
          <w:tcPr>
            <w:tcW w:w="3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未经许可和登记擅自从事职业介绍活动的处罚</w:t>
            </w:r>
          </w:p>
        </w:tc>
        <w:tc>
          <w:tcPr>
            <w:tcW w:w="1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《就业促进法》第六十四条、《河南省劳动力市场条例》第二十八条</w:t>
            </w:r>
          </w:p>
        </w:tc>
        <w:tc>
          <w:tcPr>
            <w:tcW w:w="9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eastAsia="zh-CN"/>
              </w:rPr>
              <w:t>中、低</w:t>
            </w:r>
            <w:r>
              <w:rPr>
                <w:rFonts w:hint="eastAsia" w:cs="宋体" w:asciiTheme="minorEastAsia" w:hAnsiTheme="minorEastAsia"/>
                <w:color w:val="000000"/>
                <w:kern w:val="0"/>
                <w:szCs w:val="21"/>
              </w:rPr>
              <w:t>风险</w:t>
            </w:r>
          </w:p>
        </w:tc>
        <w:tc>
          <w:tcPr>
            <w:tcW w:w="2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提示、宣传（在违法行为易发场所以书面形式向相对人宣传、解释法律、法规和政策）</w:t>
            </w:r>
          </w:p>
        </w:tc>
        <w:tc>
          <w:tcPr>
            <w:tcW w:w="1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2205" w:hRule="atLeast"/>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12</w:t>
            </w:r>
          </w:p>
        </w:tc>
        <w:tc>
          <w:tcPr>
            <w:tcW w:w="14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用人单位</w:t>
            </w:r>
          </w:p>
        </w:tc>
        <w:tc>
          <w:tcPr>
            <w:tcW w:w="154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法人、非法人组织</w:t>
            </w:r>
          </w:p>
        </w:tc>
        <w:tc>
          <w:tcPr>
            <w:tcW w:w="31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职业中介机构提供虚假就业信息，为无合法证照的用人单位提供职业中介服务，伪造、涂改、转让职业中介许可证，非法印制、倒卖或者伪造《职业介绍许可证》以及其他有关证件的处罚</w:t>
            </w:r>
          </w:p>
        </w:tc>
        <w:tc>
          <w:tcPr>
            <w:tcW w:w="19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《就业促进法》第六十五条、《河南省劳动力市场条例》第七条</w:t>
            </w:r>
          </w:p>
        </w:tc>
        <w:tc>
          <w:tcPr>
            <w:tcW w:w="93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w:t>
            </w:r>
            <w:r>
              <w:rPr>
                <w:rFonts w:hint="eastAsia" w:cs="宋体" w:asciiTheme="minorEastAsia" w:hAnsiTheme="minorEastAsia"/>
                <w:color w:val="000000"/>
                <w:kern w:val="0"/>
                <w:szCs w:val="21"/>
                <w:lang w:eastAsia="zh-CN"/>
              </w:rPr>
              <w:t>低</w:t>
            </w:r>
            <w:r>
              <w:rPr>
                <w:rFonts w:hint="eastAsia" w:cs="宋体" w:asciiTheme="minorEastAsia" w:hAnsiTheme="minorEastAsia"/>
                <w:color w:val="000000"/>
                <w:kern w:val="0"/>
                <w:szCs w:val="21"/>
              </w:rPr>
              <w:t>风险</w:t>
            </w:r>
          </w:p>
        </w:tc>
        <w:tc>
          <w:tcPr>
            <w:tcW w:w="24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提示、宣传、约谈、建议（在违法行为易发场所以书面形式向相对人宣传、解释法律、法规和政策并对其相关负责人进行谈话劝勉、培训教育）</w:t>
            </w:r>
          </w:p>
        </w:tc>
        <w:tc>
          <w:tcPr>
            <w:tcW w:w="16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2273" w:hRule="atLeast"/>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w:t>
            </w:r>
          </w:p>
        </w:tc>
        <w:tc>
          <w:tcPr>
            <w:tcW w:w="14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用人单位</w:t>
            </w:r>
          </w:p>
        </w:tc>
        <w:tc>
          <w:tcPr>
            <w:tcW w:w="1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超出职业介绍许可范围从事职业介绍、超出规定的收费项目和收费标准收费，以胁迫、欺骗等方式进行非法职业介绍活动的处罚</w:t>
            </w:r>
          </w:p>
        </w:tc>
        <w:tc>
          <w:tcPr>
            <w:tcW w:w="19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《河南省劳动力市场条例》第二十九条</w:t>
            </w:r>
          </w:p>
        </w:tc>
        <w:tc>
          <w:tcPr>
            <w:tcW w:w="93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中、低风险</w:t>
            </w:r>
          </w:p>
        </w:tc>
        <w:tc>
          <w:tcPr>
            <w:tcW w:w="2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提示、宣传、约谈、建议（在违法行为易发场所以书面形式向相对人宣传、解释法律、法规和政策并对其相关负责人进行谈话劝勉、培训教育）</w:t>
            </w:r>
          </w:p>
        </w:tc>
        <w:tc>
          <w:tcPr>
            <w:tcW w:w="1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2014" w:hRule="atLeast"/>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color w:val="000000"/>
                <w:kern w:val="0"/>
                <w:szCs w:val="21"/>
                <w:lang w:val="en-US" w:eastAsia="zh-CN"/>
              </w:rPr>
              <w:t>14</w:t>
            </w:r>
          </w:p>
        </w:tc>
        <w:tc>
          <w:tcPr>
            <w:tcW w:w="14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用人单位</w:t>
            </w:r>
          </w:p>
        </w:tc>
        <w:tc>
          <w:tcPr>
            <w:tcW w:w="154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以举办职业教育为名，骗取财物，违法牟利的处罚</w:t>
            </w:r>
          </w:p>
        </w:tc>
        <w:tc>
          <w:tcPr>
            <w:tcW w:w="19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《河南省实施〈中华人民共和国职业教育法〉办法》第二十六条</w:t>
            </w:r>
          </w:p>
        </w:tc>
        <w:tc>
          <w:tcPr>
            <w:tcW w:w="93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中、低风险</w:t>
            </w:r>
          </w:p>
        </w:tc>
        <w:tc>
          <w:tcPr>
            <w:tcW w:w="24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提示、宣传、约谈、建议（在违法行为易发场所以书面形式向相对人宣传、解释法律、法规和政策并对其相关负责人进行谈话劝勉、培训教育</w:t>
            </w:r>
          </w:p>
        </w:tc>
        <w:tc>
          <w:tcPr>
            <w:tcW w:w="16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2119" w:hRule="atLeast"/>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val="en-US" w:eastAsia="zh-CN"/>
              </w:rPr>
              <w:t>15</w:t>
            </w:r>
          </w:p>
        </w:tc>
        <w:tc>
          <w:tcPr>
            <w:tcW w:w="14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用人单位</w:t>
            </w:r>
          </w:p>
        </w:tc>
        <w:tc>
          <w:tcPr>
            <w:tcW w:w="154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用人单位伪造、变造失业保险登记证或者缴费证明，未代扣代缴失业保险费，隐瞒事实真相，谎报、瞒报、出具伪证，或者隐匿、毁灭证据，拒不提供资料，拒不配合行政执法，打击报复举报人员的处罚</w:t>
            </w:r>
          </w:p>
        </w:tc>
        <w:tc>
          <w:tcPr>
            <w:tcW w:w="19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《河南省就业促进条例》第五十八条、《就业服务与就业管理规定》第七十五条</w:t>
            </w:r>
          </w:p>
        </w:tc>
        <w:tc>
          <w:tcPr>
            <w:tcW w:w="93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中、高风险</w:t>
            </w:r>
          </w:p>
        </w:tc>
        <w:tc>
          <w:tcPr>
            <w:tcW w:w="24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　提示、宣传、约谈、建议（在违法行为易发场所以书面形式向相对人宣传、解释法律、法规和政策并对其相关负责人进行谈话劝勉、培训教育）</w:t>
            </w:r>
          </w:p>
        </w:tc>
        <w:tc>
          <w:tcPr>
            <w:tcW w:w="16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1440" w:hRule="atLeast"/>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val="en-US" w:eastAsia="zh-CN"/>
              </w:rPr>
              <w:t>16</w:t>
            </w:r>
          </w:p>
        </w:tc>
        <w:tc>
          <w:tcPr>
            <w:tcW w:w="14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用人单位</w:t>
            </w:r>
          </w:p>
        </w:tc>
        <w:tc>
          <w:tcPr>
            <w:tcW w:w="1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用人单位未及时为劳动者办理就业失业登记手续的处罚</w:t>
            </w:r>
          </w:p>
        </w:tc>
        <w:tc>
          <w:tcPr>
            <w:tcW w:w="19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《河南省就业促进条例》第五十八条 、《就业服务与就业管理规定》第七十五条</w:t>
            </w:r>
          </w:p>
        </w:tc>
        <w:tc>
          <w:tcPr>
            <w:tcW w:w="93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低、中风险</w:t>
            </w:r>
          </w:p>
        </w:tc>
        <w:tc>
          <w:tcPr>
            <w:tcW w:w="2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提示、宣传（在违法行为易发场所以书面形式向相对人宣传、解释法律、法规和政策）</w:t>
            </w:r>
          </w:p>
        </w:tc>
        <w:tc>
          <w:tcPr>
            <w:tcW w:w="1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1530" w:hRule="atLeast"/>
        </w:trPr>
        <w:tc>
          <w:tcPr>
            <w:tcW w:w="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17</w:t>
            </w:r>
          </w:p>
        </w:tc>
        <w:tc>
          <w:tcPr>
            <w:tcW w:w="1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用人单位</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用人单位未按时足额缴纳社会保险费的处罚款</w:t>
            </w:r>
          </w:p>
        </w:tc>
        <w:tc>
          <w:tcPr>
            <w:tcW w:w="1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《社会保险法》第八十六条</w:t>
            </w:r>
          </w:p>
        </w:tc>
        <w:tc>
          <w:tcPr>
            <w:tcW w:w="9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中、高风险</w:t>
            </w:r>
          </w:p>
        </w:tc>
        <w:tc>
          <w:tcPr>
            <w:tcW w:w="2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 w:val="18"/>
                <w:szCs w:val="18"/>
                <w:lang w:eastAsia="zh-CN"/>
              </w:rPr>
              <w:t>提示、宣传、约谈、建议（在违法行为易发场所以书面形式向相对人宣传、解释法律、法规和政策并对其相关负责人进行谈话劝勉、培训教育）</w:t>
            </w:r>
          </w:p>
        </w:tc>
        <w:tc>
          <w:tcPr>
            <w:tcW w:w="1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1434" w:hRule="atLeast"/>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18</w:t>
            </w:r>
          </w:p>
        </w:tc>
        <w:tc>
          <w:tcPr>
            <w:tcW w:w="14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用人单位</w:t>
            </w:r>
          </w:p>
        </w:tc>
        <w:tc>
          <w:tcPr>
            <w:tcW w:w="154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职工因工作遭受事故伤害或者患职业病，用人单位不组织抢救、隐瞒事实真相或者拒不履行举证责任的处罚</w:t>
            </w:r>
          </w:p>
        </w:tc>
        <w:tc>
          <w:tcPr>
            <w:tcW w:w="19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《河南省工伤保险条例》第四十三条</w:t>
            </w:r>
          </w:p>
        </w:tc>
        <w:tc>
          <w:tcPr>
            <w:tcW w:w="93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中、高风险</w:t>
            </w:r>
          </w:p>
        </w:tc>
        <w:tc>
          <w:tcPr>
            <w:tcW w:w="24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提示、宣传、约谈、建议（在违法行为易发场所以书面形式向相对人宣传、解释法律、法规和政策并对其相关负责人进行谈话劝勉、培训教育）</w:t>
            </w:r>
          </w:p>
        </w:tc>
        <w:tc>
          <w:tcPr>
            <w:tcW w:w="16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2119" w:hRule="atLeast"/>
        </w:trPr>
        <w:tc>
          <w:tcPr>
            <w:tcW w:w="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val="en-US" w:eastAsia="zh-CN"/>
              </w:rPr>
              <w:t>19</w:t>
            </w:r>
          </w:p>
        </w:tc>
        <w:tc>
          <w:tcPr>
            <w:tcW w:w="1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用人单位</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 xml:space="preserve">用人单位违反规定以担保或者其他名义向劳动者收取财物的处罚 </w:t>
            </w:r>
          </w:p>
        </w:tc>
        <w:tc>
          <w:tcPr>
            <w:tcW w:w="1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《劳动合同法》第八十四条</w:t>
            </w:r>
          </w:p>
        </w:tc>
        <w:tc>
          <w:tcPr>
            <w:tcW w:w="9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低风险</w:t>
            </w:r>
          </w:p>
        </w:tc>
        <w:tc>
          <w:tcPr>
            <w:tcW w:w="2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　提示、宣传、约谈、建议（在违法行为易发场所以书面形式向相对人宣传、解释法律、法规和政策并对其相关负责人进行谈话劝勉、培训教育）</w:t>
            </w:r>
          </w:p>
        </w:tc>
        <w:tc>
          <w:tcPr>
            <w:tcW w:w="1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540" w:hRule="atLeast"/>
        </w:trPr>
        <w:tc>
          <w:tcPr>
            <w:tcW w:w="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color w:val="000000"/>
                <w:kern w:val="0"/>
                <w:szCs w:val="21"/>
                <w:lang w:val="en-US" w:eastAsia="zh-CN"/>
              </w:rPr>
              <w:t>20</w:t>
            </w:r>
          </w:p>
        </w:tc>
        <w:tc>
          <w:tcPr>
            <w:tcW w:w="1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用人单位</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 xml:space="preserve">未经批准设立人才中介服务组织或从事人才交流活动的处罚 </w:t>
            </w:r>
          </w:p>
        </w:tc>
        <w:tc>
          <w:tcPr>
            <w:tcW w:w="1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《人才市场管理规定》第三十五条</w:t>
            </w:r>
          </w:p>
        </w:tc>
        <w:tc>
          <w:tcPr>
            <w:tcW w:w="9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低、中风险</w:t>
            </w:r>
          </w:p>
        </w:tc>
        <w:tc>
          <w:tcPr>
            <w:tcW w:w="2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提示、宣传（在违法行为易发场所以书面形式向相对人宣传、解释法律、法规和政策）</w:t>
            </w:r>
          </w:p>
        </w:tc>
        <w:tc>
          <w:tcPr>
            <w:tcW w:w="1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1530" w:hRule="atLeast"/>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21</w:t>
            </w:r>
          </w:p>
        </w:tc>
        <w:tc>
          <w:tcPr>
            <w:tcW w:w="14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用人单位</w:t>
            </w:r>
          </w:p>
        </w:tc>
        <w:tc>
          <w:tcPr>
            <w:tcW w:w="154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人才中介服务机构擅自扩大许可业务范围、不依法接受检查或提供虚假材料和不按规定办理许可证变更等手续的处罚</w:t>
            </w:r>
          </w:p>
        </w:tc>
        <w:tc>
          <w:tcPr>
            <w:tcW w:w="19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《人才市场管理规定》第三十六条</w:t>
            </w:r>
          </w:p>
        </w:tc>
        <w:tc>
          <w:tcPr>
            <w:tcW w:w="93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低、中风险</w:t>
            </w:r>
          </w:p>
        </w:tc>
        <w:tc>
          <w:tcPr>
            <w:tcW w:w="24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提示、宣传（在违法行为易发场所以书面形式向相对人宣传、解释法律、法规和政策）</w:t>
            </w:r>
          </w:p>
        </w:tc>
        <w:tc>
          <w:tcPr>
            <w:tcW w:w="16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1260" w:hRule="atLeast"/>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22</w:t>
            </w:r>
          </w:p>
        </w:tc>
        <w:tc>
          <w:tcPr>
            <w:tcW w:w="14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用人单位</w:t>
            </w:r>
          </w:p>
        </w:tc>
        <w:tc>
          <w:tcPr>
            <w:tcW w:w="154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人才中介服务机构超出许可业务范围接受代理业务的处罚</w:t>
            </w:r>
          </w:p>
        </w:tc>
        <w:tc>
          <w:tcPr>
            <w:tcW w:w="19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《人才市场管理规定》第三十八条</w:t>
            </w:r>
          </w:p>
        </w:tc>
        <w:tc>
          <w:tcPr>
            <w:tcW w:w="93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低、中风险</w:t>
            </w:r>
          </w:p>
        </w:tc>
        <w:tc>
          <w:tcPr>
            <w:tcW w:w="24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提示、宣传（在违法行为易发场所以书面形式向相对人宣传、解释法律、法规和政策）</w:t>
            </w:r>
          </w:p>
        </w:tc>
        <w:tc>
          <w:tcPr>
            <w:tcW w:w="16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1635" w:hRule="atLeast"/>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23</w:t>
            </w:r>
          </w:p>
        </w:tc>
        <w:tc>
          <w:tcPr>
            <w:tcW w:w="14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eastAsia="zh-CN"/>
              </w:rPr>
              <w:t>用人单位</w:t>
            </w:r>
          </w:p>
        </w:tc>
        <w:tc>
          <w:tcPr>
            <w:tcW w:w="1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劳务派遣单位违反《劳动合同法》规定的处罚</w:t>
            </w:r>
          </w:p>
        </w:tc>
        <w:tc>
          <w:tcPr>
            <w:tcW w:w="19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《劳动合同法》第九十二条</w:t>
            </w:r>
          </w:p>
        </w:tc>
        <w:tc>
          <w:tcPr>
            <w:tcW w:w="93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中、高风险</w:t>
            </w:r>
          </w:p>
        </w:tc>
        <w:tc>
          <w:tcPr>
            <w:tcW w:w="2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提示、宣传、约谈、建议（在违法行为易发场所以书面形式向相对人宣传、解释法律、法规和政策并对其相关负责人进行谈话劝勉、培训教育）</w:t>
            </w:r>
          </w:p>
        </w:tc>
        <w:tc>
          <w:tcPr>
            <w:tcW w:w="1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1564" w:hRule="atLeast"/>
        </w:trPr>
        <w:tc>
          <w:tcPr>
            <w:tcW w:w="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val="en-US" w:eastAsia="zh-CN"/>
              </w:rPr>
              <w:t>24</w:t>
            </w:r>
          </w:p>
        </w:tc>
        <w:tc>
          <w:tcPr>
            <w:tcW w:w="1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用人单位</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用人单位违反劳动合同法有关建立职工名册规定的处罚</w:t>
            </w:r>
          </w:p>
        </w:tc>
        <w:tc>
          <w:tcPr>
            <w:tcW w:w="1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《劳动合同法实施条例》第三十三条</w:t>
            </w:r>
          </w:p>
        </w:tc>
        <w:tc>
          <w:tcPr>
            <w:tcW w:w="9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rPr>
              <w:t>低、中风险</w:t>
            </w:r>
          </w:p>
        </w:tc>
        <w:tc>
          <w:tcPr>
            <w:tcW w:w="2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rPr>
              <w:t>提示、宣传（在违法行为易发场所以书面形式向相对人宣传、解释法律、法规和政策）</w:t>
            </w:r>
          </w:p>
        </w:tc>
        <w:tc>
          <w:tcPr>
            <w:tcW w:w="1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540" w:hRule="atLeast"/>
        </w:trPr>
        <w:tc>
          <w:tcPr>
            <w:tcW w:w="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val="en-US" w:eastAsia="zh-CN"/>
              </w:rPr>
              <w:t>25</w:t>
            </w:r>
          </w:p>
        </w:tc>
        <w:tc>
          <w:tcPr>
            <w:tcW w:w="1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lang w:eastAsia="zh-CN"/>
              </w:rPr>
              <w:t>用人单位</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 xml:space="preserve">违反国家规定将乙肝病毒血清学指标作为体检标准的处罚 </w:t>
            </w:r>
          </w:p>
        </w:tc>
        <w:tc>
          <w:tcPr>
            <w:tcW w:w="1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《就业服务与就业管理规定》第六十八条</w:t>
            </w:r>
          </w:p>
        </w:tc>
        <w:tc>
          <w:tcPr>
            <w:tcW w:w="9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低、中风险</w:t>
            </w:r>
          </w:p>
        </w:tc>
        <w:tc>
          <w:tcPr>
            <w:tcW w:w="2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提示、宣传（在违法行为易发场所以书面形式向相对人宣传、解释法律、法规和政策）</w:t>
            </w:r>
          </w:p>
        </w:tc>
        <w:tc>
          <w:tcPr>
            <w:tcW w:w="1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1530" w:hRule="atLeast"/>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26</w:t>
            </w:r>
          </w:p>
        </w:tc>
        <w:tc>
          <w:tcPr>
            <w:tcW w:w="14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用人单位</w:t>
            </w:r>
          </w:p>
        </w:tc>
        <w:tc>
          <w:tcPr>
            <w:tcW w:w="154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 xml:space="preserve">职业中介机构违反规定未明示职业中介许可证、监督电话的处罚 </w:t>
            </w:r>
          </w:p>
        </w:tc>
        <w:tc>
          <w:tcPr>
            <w:tcW w:w="19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《就业服务与就业管理规定》第七十一条</w:t>
            </w:r>
          </w:p>
        </w:tc>
        <w:tc>
          <w:tcPr>
            <w:tcW w:w="93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低、中风险</w:t>
            </w:r>
          </w:p>
        </w:tc>
        <w:tc>
          <w:tcPr>
            <w:tcW w:w="24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提示、宣传（在违法行为易发场所以书面形式向相对人宣传、解释法律、法规和政策）</w:t>
            </w:r>
          </w:p>
        </w:tc>
        <w:tc>
          <w:tcPr>
            <w:tcW w:w="16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1260" w:hRule="atLeast"/>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27</w:t>
            </w:r>
          </w:p>
        </w:tc>
        <w:tc>
          <w:tcPr>
            <w:tcW w:w="14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eastAsia="zh-CN"/>
              </w:rPr>
              <w:t>用人单位</w:t>
            </w:r>
          </w:p>
        </w:tc>
        <w:tc>
          <w:tcPr>
            <w:tcW w:w="1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职业中介机构违反规定未建立服务台账或者虽建立服务台账但未记录服务对象、服务过程、服务结果和收费情况的处罚</w:t>
            </w:r>
          </w:p>
        </w:tc>
        <w:tc>
          <w:tcPr>
            <w:tcW w:w="19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《就业服务与就业管理规定》第七十二条</w:t>
            </w:r>
          </w:p>
        </w:tc>
        <w:tc>
          <w:tcPr>
            <w:tcW w:w="93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低、中风险</w:t>
            </w:r>
          </w:p>
        </w:tc>
        <w:tc>
          <w:tcPr>
            <w:tcW w:w="2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提示、宣传（在违法行为易发场所以书面形式向相对人宣传、解释法律、法规和政策）</w:t>
            </w:r>
          </w:p>
        </w:tc>
        <w:tc>
          <w:tcPr>
            <w:tcW w:w="1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1635" w:hRule="atLeast"/>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28</w:t>
            </w:r>
          </w:p>
        </w:tc>
        <w:tc>
          <w:tcPr>
            <w:tcW w:w="14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eastAsia="zh-CN"/>
              </w:rPr>
              <w:t>用人单位</w:t>
            </w:r>
          </w:p>
        </w:tc>
        <w:tc>
          <w:tcPr>
            <w:tcW w:w="154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职业中介机构违反规定在职业中介服务不成功后未向劳动者退还所收取的中介服务费的处罚</w:t>
            </w:r>
          </w:p>
        </w:tc>
        <w:tc>
          <w:tcPr>
            <w:tcW w:w="19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《就业服务与就业管理规定》第七十三条</w:t>
            </w:r>
          </w:p>
        </w:tc>
        <w:tc>
          <w:tcPr>
            <w:tcW w:w="93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低、中风险</w:t>
            </w:r>
          </w:p>
        </w:tc>
        <w:tc>
          <w:tcPr>
            <w:tcW w:w="24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提示、宣传（在违法行为易发场所以书面形式向相对人宣传、解释法律、法规和政策）</w:t>
            </w:r>
          </w:p>
        </w:tc>
        <w:tc>
          <w:tcPr>
            <w:tcW w:w="16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2119" w:hRule="atLeast"/>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val="en-US" w:eastAsia="zh-CN"/>
              </w:rPr>
              <w:t>29</w:t>
            </w:r>
          </w:p>
        </w:tc>
        <w:tc>
          <w:tcPr>
            <w:tcW w:w="14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用人单位</w:t>
            </w:r>
          </w:p>
        </w:tc>
        <w:tc>
          <w:tcPr>
            <w:tcW w:w="1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社会保险经办机构、医疗机构、药品经营单位等社会保险服务机构以欺诈、伪造证明材料或者其他手段骗取社会保险基金支出的处罚</w:t>
            </w:r>
          </w:p>
        </w:tc>
        <w:tc>
          <w:tcPr>
            <w:tcW w:w="19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《社会保险法》第八十七条、《工伤保险条例》第六十条</w:t>
            </w:r>
          </w:p>
        </w:tc>
        <w:tc>
          <w:tcPr>
            <w:tcW w:w="93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中、高风险</w:t>
            </w:r>
          </w:p>
        </w:tc>
        <w:tc>
          <w:tcPr>
            <w:tcW w:w="2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　提示、宣传、约谈、建议（在违法行为易发场所以书面形式向相对人宣传、解释法律、法规和政策并对其相关负责人进行谈话劝勉、培训教育）</w:t>
            </w:r>
          </w:p>
        </w:tc>
        <w:tc>
          <w:tcPr>
            <w:tcW w:w="1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540" w:hRule="atLeast"/>
        </w:trPr>
        <w:tc>
          <w:tcPr>
            <w:tcW w:w="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color w:val="000000"/>
                <w:kern w:val="0"/>
                <w:szCs w:val="21"/>
                <w:lang w:val="en-US" w:eastAsia="zh-CN"/>
              </w:rPr>
              <w:t>30</w:t>
            </w:r>
          </w:p>
        </w:tc>
        <w:tc>
          <w:tcPr>
            <w:tcW w:w="1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lang w:eastAsia="zh-CN"/>
              </w:rPr>
              <w:t>用人单位</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用人单位拒不协助社会保险行政部门对事故进行调查核实的处罚</w:t>
            </w:r>
          </w:p>
        </w:tc>
        <w:tc>
          <w:tcPr>
            <w:tcW w:w="1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《工伤保险条例》第六十三条</w:t>
            </w:r>
          </w:p>
        </w:tc>
        <w:tc>
          <w:tcPr>
            <w:tcW w:w="9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中、高风险</w:t>
            </w:r>
          </w:p>
        </w:tc>
        <w:tc>
          <w:tcPr>
            <w:tcW w:w="2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lang w:eastAsia="zh-CN"/>
              </w:rPr>
              <w:t>提示、宣传、约谈、建议（在违法行为易发场所以书面形式向相对人宣传、解释法律、法规和政策并对其相关负责人进行谈话劝勉、培训教育）</w:t>
            </w:r>
          </w:p>
        </w:tc>
        <w:tc>
          <w:tcPr>
            <w:tcW w:w="1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trHeight w:val="1530" w:hRule="atLeast"/>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31</w:t>
            </w:r>
          </w:p>
        </w:tc>
        <w:tc>
          <w:tcPr>
            <w:tcW w:w="14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eastAsia="zh-CN"/>
              </w:rPr>
              <w:t>用人单位</w:t>
            </w:r>
          </w:p>
        </w:tc>
        <w:tc>
          <w:tcPr>
            <w:tcW w:w="154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法人、非法人组织</w:t>
            </w:r>
          </w:p>
        </w:tc>
        <w:tc>
          <w:tcPr>
            <w:tcW w:w="31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 xml:space="preserve">用人单位违反法律规定，延长劳动者工作时间的处罚 </w:t>
            </w:r>
          </w:p>
        </w:tc>
        <w:tc>
          <w:tcPr>
            <w:tcW w:w="19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val="en-US" w:eastAsia="zh-CN"/>
              </w:rPr>
              <w:t>《劳动法》第九十条、《劳动保障监察条例》第二十五条、《河南省劳动保障监察条例》第二十二条</w:t>
            </w:r>
          </w:p>
        </w:tc>
        <w:tc>
          <w:tcPr>
            <w:tcW w:w="93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中、高风险</w:t>
            </w:r>
          </w:p>
        </w:tc>
        <w:tc>
          <w:tcPr>
            <w:tcW w:w="24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lang w:eastAsia="zh-CN"/>
              </w:rPr>
            </w:pPr>
            <w:r>
              <w:rPr>
                <w:rFonts w:hint="eastAsia" w:cs="宋体" w:asciiTheme="minorEastAsia" w:hAnsiTheme="minorEastAsia"/>
                <w:color w:val="000000"/>
                <w:kern w:val="0"/>
                <w:szCs w:val="21"/>
                <w:lang w:eastAsia="zh-CN"/>
              </w:rPr>
              <w:t>提示、宣传、约谈、建议（在违法行为易发场所以书面形式向相对人宣传、解释法律、法规和政策并对其相关负责人进行谈话劝勉、培训教育）</w:t>
            </w:r>
          </w:p>
        </w:tc>
        <w:tc>
          <w:tcPr>
            <w:tcW w:w="16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eastAsia="zh-CN"/>
              </w:rPr>
              <w:t>人社系统网站、宣传彩页、展板、行政指导文书</w:t>
            </w:r>
          </w:p>
        </w:tc>
        <w:tc>
          <w:tcPr>
            <w:tcW w:w="96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rFonts w:cs="宋体" w:asciiTheme="minorEastAsia" w:hAnsiTheme="minorEastAsia"/>
                <w:color w:val="000000"/>
                <w:kern w:val="0"/>
                <w:szCs w:val="21"/>
              </w:rPr>
            </w:pPr>
          </w:p>
        </w:tc>
      </w:tr>
      <w:tr>
        <w:tblPrEx>
          <w:shd w:val="clear" w:color="auto" w:fill="FFFFFF"/>
          <w:tblLayout w:type="fixed"/>
          <w:tblCellMar>
            <w:top w:w="0" w:type="dxa"/>
            <w:left w:w="0" w:type="dxa"/>
            <w:bottom w:w="0" w:type="dxa"/>
            <w:right w:w="0" w:type="dxa"/>
          </w:tblCellMar>
        </w:tblPrEx>
        <w:trPr>
          <w:gridAfter w:val="1"/>
          <w:wAfter w:w="179" w:type="dxa"/>
          <w:trHeight w:val="341" w:hRule="atLeast"/>
        </w:trPr>
        <w:tc>
          <w:tcPr>
            <w:tcW w:w="14650" w:type="dxa"/>
            <w:gridSpan w:val="9"/>
            <w:shd w:val="clear" w:color="auto" w:fill="FFFFFF"/>
            <w:tcMar>
              <w:top w:w="0" w:type="dxa"/>
              <w:left w:w="108" w:type="dxa"/>
              <w:bottom w:w="0" w:type="dxa"/>
              <w:right w:w="108" w:type="dxa"/>
            </w:tcMar>
            <w:vAlign w:val="center"/>
          </w:tcPr>
          <w:p>
            <w:pPr>
              <w:widowControl/>
              <w:spacing w:line="315" w:lineRule="atLeast"/>
              <w:jc w:val="left"/>
              <w:rPr>
                <w:rFonts w:ascii="宋体" w:hAnsi="宋体" w:eastAsia="宋体" w:cs="宋体"/>
                <w:color w:val="000000"/>
                <w:kern w:val="0"/>
                <w:sz w:val="24"/>
                <w:szCs w:val="24"/>
              </w:rPr>
            </w:pPr>
          </w:p>
          <w:p>
            <w:pPr>
              <w:widowControl/>
              <w:spacing w:line="315" w:lineRule="atLeast"/>
              <w:jc w:val="left"/>
              <w:rPr>
                <w:rFonts w:ascii="Calibri" w:hAnsi="Calibri" w:eastAsia="宋体" w:cs="宋体"/>
                <w:color w:val="000000"/>
                <w:kern w:val="0"/>
                <w:szCs w:val="21"/>
              </w:rPr>
            </w:pPr>
            <w:r>
              <w:rPr>
                <w:rFonts w:hint="eastAsia" w:ascii="宋体" w:hAnsi="宋体" w:eastAsia="宋体" w:cs="宋体"/>
                <w:color w:val="000000"/>
                <w:kern w:val="0"/>
                <w:sz w:val="21"/>
                <w:szCs w:val="21"/>
              </w:rPr>
              <w:t>填表说明：1、经营者即行政相对人可以根据监管对象进行划分，也可以按行业进行划分；2、行政处罚或行政强制依据书写到具体条款项目，不写具体内容；3、经营者类别可以分为法人、非法人组织、自然人三类；4、风险级别分为“高、中、低”3个等级；5、指导方式为提示、示范、辅导、引导、规劝、约谈、建议、回访以及不违背法律、法规、规章规定的其他指导方式，具体可参照《河南省行政指导工作规范》，具体指导措施可结合本部门实际和指导对象情况制定；6、指导平台可根据实际情况建议采用行政指导文书、宣传彩页和互联网等3类平台开展，也可以采用展板、报刊、电台等平台。</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Century Gothic">
    <w:altName w:val="Segoe Print"/>
    <w:panose1 w:val="020B0502020202020204"/>
    <w:charset w:val="00"/>
    <w:family w:val="auto"/>
    <w:pitch w:val="default"/>
    <w:sig w:usb0="00000000"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E25FC"/>
    <w:rsid w:val="565E2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2017-11-23T03:36:00Z</dcterms:created>
  <dc:creator>泪血无痕</dc:creator>
  <cp:lastModifiedBy>泪血无痕</cp:lastModifiedBy>
  <dcterms:modified xsi:type="dcterms:W3CDTF">2017-11-23T03:37:26Z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