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附件</w:t>
      </w:r>
    </w:p>
    <w:p>
      <w:pPr>
        <w:keepNext w:val="0"/>
        <w:keepLines w:val="0"/>
        <w:widowControl w:val="0"/>
        <w:suppressLineNumbers w:val="0"/>
        <w:spacing w:before="0" w:beforeAutospacing="0" w:after="0" w:afterAutospacing="0"/>
        <w:ind w:left="-2" w:leftChars="-1" w:right="0" w:firstLine="861" w:firstLineChars="195"/>
        <w:jc w:val="center"/>
        <w:rPr>
          <w:rFonts w:hint="eastAsia" w:ascii="宋体" w:hAnsi="宋体" w:eastAsia="宋体" w:cs="宋体"/>
          <w:b/>
          <w:color w:val="333333"/>
          <w:sz w:val="44"/>
          <w:szCs w:val="44"/>
          <w:lang w:val="en-US"/>
        </w:rPr>
      </w:pPr>
      <w:r>
        <w:rPr>
          <w:rFonts w:hint="eastAsia" w:ascii="宋体" w:hAnsi="宋体" w:eastAsia="宋体" w:cs="宋体"/>
          <w:b/>
          <w:color w:val="333333"/>
          <w:kern w:val="2"/>
          <w:sz w:val="44"/>
          <w:szCs w:val="44"/>
          <w:lang w:val="en-US" w:eastAsia="zh-CN" w:bidi="ar"/>
        </w:rPr>
        <w:t>河南省机关事业单位工勤技能岗位</w:t>
      </w:r>
    </w:p>
    <w:p>
      <w:pPr>
        <w:keepNext w:val="0"/>
        <w:keepLines w:val="0"/>
        <w:widowControl w:val="0"/>
        <w:suppressLineNumbers w:val="0"/>
        <w:spacing w:before="0" w:beforeAutospacing="0" w:after="0" w:afterAutospacing="0"/>
        <w:ind w:left="-2" w:leftChars="-1" w:right="0" w:firstLine="861" w:firstLineChars="195"/>
        <w:jc w:val="center"/>
        <w:rPr>
          <w:rFonts w:hint="eastAsia" w:ascii="宋体" w:hAnsi="宋体" w:eastAsia="宋体" w:cs="宋体"/>
          <w:b/>
          <w:color w:val="333333"/>
          <w:sz w:val="44"/>
          <w:szCs w:val="44"/>
          <w:lang w:val="en-US"/>
        </w:rPr>
      </w:pPr>
      <w:r>
        <w:rPr>
          <w:rFonts w:hint="eastAsia" w:ascii="宋体" w:hAnsi="宋体" w:eastAsia="宋体" w:cs="宋体"/>
          <w:b/>
          <w:color w:val="333333"/>
          <w:kern w:val="2"/>
          <w:sz w:val="44"/>
          <w:szCs w:val="44"/>
          <w:lang w:val="en-US" w:eastAsia="zh-CN" w:bidi="ar"/>
        </w:rPr>
        <w:t>申报资格条件附则</w:t>
      </w:r>
    </w:p>
    <w:p>
      <w:pPr>
        <w:keepNext w:val="0"/>
        <w:keepLines w:val="0"/>
        <w:widowControl w:val="0"/>
        <w:suppressLineNumbers w:val="0"/>
        <w:spacing w:before="0" w:beforeAutospacing="0" w:after="0" w:afterAutospacing="0"/>
        <w:ind w:left="-2" w:leftChars="-1" w:right="0" w:firstLine="624" w:firstLineChars="195"/>
        <w:jc w:val="center"/>
        <w:rPr>
          <w:rFonts w:hint="eastAsia" w:ascii="仿宋" w:hAnsi="仿宋" w:eastAsia="仿宋" w:cs="仿宋"/>
          <w:color w:val="000000"/>
          <w:sz w:val="32"/>
          <w:szCs w:val="32"/>
          <w:lang w:val="en-US"/>
        </w:rPr>
      </w:pP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第一条</w:t>
      </w:r>
      <w:r>
        <w:rPr>
          <w:rFonts w:hint="eastAsia" w:ascii="仿宋" w:hAnsi="仿宋" w:eastAsia="仿宋" w:cs="仿宋"/>
          <w:color w:val="000000"/>
          <w:kern w:val="2"/>
          <w:sz w:val="32"/>
          <w:szCs w:val="32"/>
          <w:lang w:val="en-US" w:eastAsia="zh-CN" w:bidi="ar"/>
        </w:rPr>
        <w:t xml:space="preserve">  </w:t>
      </w:r>
      <w:r>
        <w:rPr>
          <w:rFonts w:hint="eastAsia" w:ascii="仿宋" w:hAnsi="仿宋" w:eastAsia="仿宋" w:cs="仿宋"/>
          <w:color w:val="000000"/>
          <w:kern w:val="2"/>
          <w:sz w:val="30"/>
          <w:szCs w:val="30"/>
          <w:lang w:val="en-US" w:eastAsia="zh-CN" w:bidi="ar"/>
        </w:rPr>
        <w:t>申报资格条件中所指表彰奖励、业绩成果等，除特殊规定外，均应为取得现等级工勤技能岗位等级资格证书以来获得。</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第二条</w:t>
      </w:r>
      <w:r>
        <w:rPr>
          <w:rFonts w:hint="eastAsia" w:ascii="仿宋" w:hAnsi="仿宋" w:eastAsia="仿宋" w:cs="仿宋"/>
          <w:color w:val="000000"/>
          <w:kern w:val="2"/>
          <w:sz w:val="30"/>
          <w:szCs w:val="30"/>
          <w:lang w:val="en-US" w:eastAsia="zh-CN" w:bidi="ar"/>
        </w:rPr>
        <w:t xml:space="preserve">  申报资格条件中各项表彰奖励、业绩成果等应经过单位推荐、核实、公示，凡未经过单位推荐、核实并公示的，报名资格审查和综合评审时不予认可。以单位、团体等名义获得，或被撤销的表彰奖励、业绩成果等，不得作为个人申报条资格件上报。</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第三条</w:t>
      </w:r>
      <w:r>
        <w:rPr>
          <w:rFonts w:hint="eastAsia" w:ascii="仿宋" w:hAnsi="仿宋" w:eastAsia="仿宋" w:cs="仿宋"/>
          <w:color w:val="000000"/>
          <w:kern w:val="2"/>
          <w:sz w:val="30"/>
          <w:szCs w:val="30"/>
          <w:lang w:val="en-US" w:eastAsia="zh-CN" w:bidi="ar"/>
        </w:rPr>
        <w:t xml:space="preserve">  申报资格条件中所称 “以上”均含本级或本数量。同一项目所获得不同奖项不重复计算，均按最高奖项认定。济源示范区表彰奖励、业绩成果等参照省辖市级有关规定执行。</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第四条</w:t>
      </w:r>
      <w:r>
        <w:rPr>
          <w:rFonts w:hint="eastAsia" w:ascii="仿宋" w:hAnsi="仿宋" w:eastAsia="仿宋" w:cs="仿宋"/>
          <w:color w:val="000000"/>
          <w:kern w:val="2"/>
          <w:sz w:val="30"/>
          <w:szCs w:val="30"/>
          <w:lang w:val="en-US" w:eastAsia="zh-CN" w:bidi="ar"/>
        </w:rPr>
        <w:t xml:space="preserve">  各类表彰奖励应按相关规定履行审批备案程序，以省委、省政府，省辖市党委、政府，省级工作部门授予为准。其中省级工作部门面向其内设机构及直属单位进行的表彰奖励，不作为申报资格条件。作为申报资格条件的各类表彰奖励应提供有关正式文件、获奖证书等原件及复印件备案。</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第五条</w:t>
      </w:r>
      <w:r>
        <w:rPr>
          <w:rFonts w:hint="eastAsia" w:ascii="仿宋" w:hAnsi="仿宋" w:eastAsia="仿宋" w:cs="仿宋"/>
          <w:color w:val="000000"/>
          <w:kern w:val="2"/>
          <w:sz w:val="30"/>
          <w:szCs w:val="30"/>
          <w:lang w:val="en-US" w:eastAsia="zh-CN" w:bidi="ar"/>
        </w:rPr>
        <w:t xml:space="preserve">  申报资格条件中同一年度考核结果为优秀等次、被评定为年度优秀共产党员的，按1年对待，不进行年度累计。</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w:t>
      </w:r>
      <w:r>
        <w:rPr>
          <w:rFonts w:hint="eastAsia" w:ascii="黑体" w:hAnsi="宋体" w:eastAsia="黑体" w:cs="黑体"/>
          <w:color w:val="000000"/>
          <w:sz w:val="30"/>
          <w:szCs w:val="30"/>
          <w:lang w:val="en-US" w:eastAsia="zh-CN"/>
        </w:rPr>
        <w:t>六条</w:t>
      </w:r>
      <w:r>
        <w:rPr>
          <w:rFonts w:hint="eastAsia" w:ascii="仿宋" w:hAnsi="仿宋" w:eastAsia="仿宋" w:cs="仿宋"/>
          <w:color w:val="000000"/>
          <w:kern w:val="2"/>
          <w:sz w:val="30"/>
          <w:szCs w:val="30"/>
          <w:lang w:val="en-US" w:eastAsia="zh-CN" w:bidi="ar"/>
        </w:rPr>
        <w:t xml:space="preserve">  申报资格条件中国家发明专利或实用新型专利，应提供相应证书和国家知识产权局官方网站检索结果。未经国家知识产权局官方网站检索、验证的专利，不予认可。</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第七条</w:t>
      </w:r>
      <w:r>
        <w:rPr>
          <w:rFonts w:hint="eastAsia" w:ascii="仿宋" w:hAnsi="仿宋" w:eastAsia="仿宋" w:cs="仿宋"/>
          <w:color w:val="000000"/>
          <w:kern w:val="2"/>
          <w:sz w:val="30"/>
          <w:szCs w:val="30"/>
          <w:lang w:val="en-US" w:eastAsia="zh-CN" w:bidi="ar"/>
        </w:rPr>
        <w:t xml:space="preserve">  申报资格条件中省级以上劳动模范和先进工作者，是指党中央、国务院或省委、省政府授予的“劳动模范和先进工作者”。</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w:t>
      </w:r>
      <w:r>
        <w:rPr>
          <w:rFonts w:hint="eastAsia" w:ascii="黑体" w:hAnsi="宋体" w:eastAsia="黑体" w:cs="黑体"/>
          <w:color w:val="000000"/>
          <w:sz w:val="30"/>
          <w:szCs w:val="30"/>
          <w:lang w:val="en-US" w:eastAsia="zh-CN"/>
        </w:rPr>
        <w:t>八条</w:t>
      </w:r>
      <w:r>
        <w:rPr>
          <w:rFonts w:hint="eastAsia" w:ascii="仿宋" w:hAnsi="仿宋" w:eastAsia="仿宋" w:cs="仿宋"/>
          <w:color w:val="000000"/>
          <w:kern w:val="2"/>
          <w:sz w:val="30"/>
          <w:szCs w:val="30"/>
          <w:lang w:val="en-US" w:eastAsia="zh-CN" w:bidi="ar"/>
        </w:rPr>
        <w:t xml:space="preserve">  省级以上</w:t>
      </w:r>
      <w:r>
        <w:rPr>
          <w:rFonts w:hint="eastAsia" w:ascii="仿宋" w:hAnsi="仿宋" w:eastAsia="仿宋" w:cs="仿宋"/>
          <w:color w:val="000000"/>
          <w:kern w:val="0"/>
          <w:sz w:val="30"/>
          <w:szCs w:val="30"/>
          <w:lang w:val="en-US" w:eastAsia="zh-CN" w:bidi="ar"/>
        </w:rPr>
        <w:t>五一劳动奖章，是指全国总工会或省总工会授予的“五一劳动奖章”。</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第九条</w:t>
      </w:r>
      <w:r>
        <w:rPr>
          <w:rFonts w:hint="eastAsia" w:ascii="仿宋" w:hAnsi="仿宋" w:eastAsia="仿宋" w:cs="仿宋"/>
          <w:color w:val="000000"/>
          <w:kern w:val="2"/>
          <w:sz w:val="30"/>
          <w:szCs w:val="30"/>
          <w:lang w:val="en-US" w:eastAsia="zh-CN" w:bidi="ar"/>
        </w:rPr>
        <w:t xml:space="preserve">  申报资格条件中省级以上技术能手是指省级以上人力资源社会保障部门授予的技术能手。省级以上技能竞赛是指省级以上人力资源社会保障部门组织参与或认可的技能竞赛。</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第十条</w:t>
      </w:r>
      <w:r>
        <w:rPr>
          <w:rFonts w:hint="eastAsia" w:ascii="仿宋" w:hAnsi="仿宋" w:eastAsia="仿宋" w:cs="仿宋"/>
          <w:color w:val="000000"/>
          <w:kern w:val="2"/>
          <w:sz w:val="30"/>
          <w:szCs w:val="30"/>
          <w:lang w:val="en-US" w:eastAsia="zh-CN" w:bidi="ar"/>
        </w:rPr>
        <w:t xml:space="preserve">  申报资格条件中</w:t>
      </w:r>
      <w:r>
        <w:rPr>
          <w:rFonts w:hint="eastAsia" w:ascii="仿宋" w:hAnsi="仿宋" w:eastAsia="仿宋" w:cs="Helvetica"/>
          <w:color w:val="333333"/>
          <w:kern w:val="2"/>
          <w:sz w:val="30"/>
          <w:szCs w:val="30"/>
          <w:lang w:val="en-US" w:eastAsia="zh-CN" w:bidi="ar"/>
        </w:rPr>
        <w:t>在本行业有突出贡献或具有绝招、绝技、绝活的特殊人才</w:t>
      </w:r>
      <w:r>
        <w:rPr>
          <w:rFonts w:hint="eastAsia" w:ascii="仿宋" w:hAnsi="仿宋" w:eastAsia="仿宋" w:cs="仿宋"/>
          <w:color w:val="000000"/>
          <w:kern w:val="2"/>
          <w:sz w:val="30"/>
          <w:szCs w:val="30"/>
          <w:lang w:val="en-US" w:eastAsia="zh-CN" w:bidi="ar"/>
        </w:rPr>
        <w:t>须经省级以上人力资源社会保障部门认定。</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第十一条</w:t>
      </w:r>
      <w:r>
        <w:rPr>
          <w:rFonts w:hint="eastAsia" w:ascii="仿宋" w:hAnsi="仿宋" w:eastAsia="仿宋" w:cs="仿宋"/>
          <w:color w:val="000000"/>
          <w:kern w:val="2"/>
          <w:sz w:val="30"/>
          <w:szCs w:val="30"/>
          <w:lang w:val="en-US" w:eastAsia="zh-CN" w:bidi="ar"/>
        </w:rPr>
        <w:t xml:space="preserve">  专业技术人才申报工勤技能岗位一级考评的资格条件，应按照国家和我省有关规定执行。</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黑体" w:hAnsi="宋体" w:eastAsia="黑体" w:cs="黑体"/>
          <w:color w:val="000000"/>
          <w:sz w:val="30"/>
          <w:szCs w:val="30"/>
          <w:lang w:val="en-US" w:eastAsia="zh-CN"/>
        </w:rPr>
        <w:t>第十二条</w:t>
      </w:r>
      <w:r>
        <w:rPr>
          <w:rFonts w:hint="eastAsia" w:ascii="仿宋" w:hAnsi="仿宋" w:eastAsia="仿宋" w:cs="仿宋"/>
          <w:color w:val="000000"/>
          <w:kern w:val="2"/>
          <w:sz w:val="30"/>
          <w:szCs w:val="30"/>
          <w:lang w:val="en-US" w:eastAsia="zh-CN" w:bidi="ar"/>
        </w:rPr>
        <w:t xml:space="preserve">  有下列情形之一者，不得申报：</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(一)被立案审查尚未结案；</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(二)尚在党纪处分影响期和政务处分期间；</w:t>
      </w:r>
    </w:p>
    <w:p>
      <w:pPr>
        <w:keepNext w:val="0"/>
        <w:keepLines w:val="0"/>
        <w:widowControl w:val="0"/>
        <w:suppressLineNumbers w:val="0"/>
        <w:spacing w:before="0" w:beforeAutospacing="0" w:after="0" w:afterAutospacing="0"/>
        <w:ind w:left="-2" w:leftChars="-1" w:right="0" w:firstLine="585" w:firstLineChars="195"/>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0"/>
          <w:szCs w:val="30"/>
          <w:lang w:val="en-US" w:eastAsia="zh-CN" w:bidi="ar"/>
        </w:rPr>
        <w:t>(三)法律、法规、规章规定的其它不得申报情形。</w:t>
      </w:r>
      <w:bookmarkStart w:id="0" w:name="_GoBack"/>
      <w:bookmarkEnd w:id="0"/>
    </w:p>
    <w:sectPr>
      <w:pgSz w:w="11906" w:h="16838"/>
      <w:pgMar w:top="2721" w:right="1588" w:bottom="1702"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Helvetica">
    <w:altName w:val="Liberation Sans"/>
    <w:panose1 w:val="020B0604020202020204"/>
    <w:charset w:val="00"/>
    <w:family w:val="auto"/>
    <w:pitch w:val="default"/>
    <w:sig w:usb0="00000000" w:usb1="00000000" w:usb2="00000009" w:usb3="00000000" w:csb0="000001F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31282"/>
    <w:rsid w:val="3E5D704D"/>
    <w:rsid w:val="3FEB5F8B"/>
    <w:rsid w:val="5132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2024-02-29T10:03:00Z</dcterms:created>
  <dc:creator>DELL</dc:creator>
  <cp:lastModifiedBy>greatwall</cp:lastModifiedBy>
  <dcterms:modified xsi:type="dcterms:W3CDTF">2024-03-18T09:36:46Z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